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5E3B64" w14:paraId="3FAEC1E3" w14:textId="77777777" w:rsidTr="007E488B">
        <w:tc>
          <w:tcPr>
            <w:tcW w:w="4208" w:type="dxa"/>
          </w:tcPr>
          <w:p w14:paraId="3FAEC1E2" w14:textId="77777777" w:rsidR="00A57420" w:rsidRPr="005E3B64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5E3B64" w14:paraId="3FAEC1E5" w14:textId="77777777" w:rsidTr="007E488B">
        <w:tc>
          <w:tcPr>
            <w:tcW w:w="4208" w:type="dxa"/>
          </w:tcPr>
          <w:p w14:paraId="3FAEC1E4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5E3B64" w14:paraId="3FAEC1E7" w14:textId="77777777" w:rsidTr="007E488B">
        <w:tc>
          <w:tcPr>
            <w:tcW w:w="4208" w:type="dxa"/>
          </w:tcPr>
          <w:p w14:paraId="3FAEC1E6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5E3B64" w14:paraId="3FAEC1E9" w14:textId="77777777" w:rsidTr="007E488B">
        <w:tc>
          <w:tcPr>
            <w:tcW w:w="4208" w:type="dxa"/>
          </w:tcPr>
          <w:p w14:paraId="3FAEC1E8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57420" w:rsidRPr="005E3B64" w14:paraId="3FAEC1EB" w14:textId="77777777" w:rsidTr="007E488B">
        <w:tc>
          <w:tcPr>
            <w:tcW w:w="4208" w:type="dxa"/>
          </w:tcPr>
          <w:p w14:paraId="3FAEC1EA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3FAEC1EC" w14:textId="77777777" w:rsidR="00887BC5" w:rsidRPr="005E3B64" w:rsidRDefault="00887BC5" w:rsidP="000E4AAA">
      <w:pPr>
        <w:jc w:val="both"/>
        <w:rPr>
          <w:rFonts w:ascii="Arial" w:hAnsi="Arial" w:cs="Arial"/>
          <w:b/>
        </w:rPr>
      </w:pPr>
    </w:p>
    <w:p w14:paraId="3FAEC1ED" w14:textId="77777777" w:rsidR="005E5DC8" w:rsidRPr="005E3B64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</w:t>
      </w:r>
    </w:p>
    <w:p w14:paraId="3FAEC1EE" w14:textId="77777777" w:rsidR="008C23E2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 </w:t>
      </w:r>
    </w:p>
    <w:p w14:paraId="3FAEC1EF" w14:textId="77777777" w:rsidR="00A57420" w:rsidRDefault="00A57420" w:rsidP="005E5DC8">
      <w:pPr>
        <w:spacing w:after="0"/>
        <w:jc w:val="both"/>
        <w:rPr>
          <w:rFonts w:ascii="Arial" w:hAnsi="Arial" w:cs="Arial"/>
        </w:rPr>
      </w:pPr>
    </w:p>
    <w:p w14:paraId="3FAEC1F0" w14:textId="77777777" w:rsidR="00A57420" w:rsidRPr="005E3B64" w:rsidRDefault="00A57420" w:rsidP="005E5DC8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6496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4F16E5" w:rsidRPr="005E3B64" w14:paraId="3FAEC1F2" w14:textId="77777777" w:rsidTr="007E488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3FAEC1F1" w14:textId="77777777" w:rsidR="004F16E5" w:rsidRPr="005E3B64" w:rsidRDefault="004F16E5" w:rsidP="00A57420">
            <w:pPr>
              <w:spacing w:before="120" w:after="12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4F16E5" w:rsidRPr="005E3B64" w14:paraId="3FAEC200" w14:textId="77777777" w:rsidTr="007E488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3FAEC1F3" w14:textId="77777777" w:rsidR="004F16E5" w:rsidRPr="005E3B64" w:rsidRDefault="004F16E5" w:rsidP="00A57420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1F4" w14:textId="77777777" w:rsidR="004F16E5" w:rsidRPr="005E3B64" w:rsidRDefault="004F16E5" w:rsidP="00A57420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3FAEC1F5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14:paraId="3FAEC1F6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E34130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>kg</w:t>
            </w:r>
          </w:p>
          <w:p w14:paraId="3FAEC1F7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="00E34130" w:rsidRPr="005E3B64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="00E34130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mg/kg =  </w: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 (dose max = 800 mg)</w:t>
            </w:r>
          </w:p>
          <w:p w14:paraId="3FAEC1F8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14:paraId="3FAEC1F9" w14:textId="77777777" w:rsidR="004F16E5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7CC6">
              <w:rPr>
                <w:rFonts w:ascii="Arial" w:hAnsi="Arial" w:cs="Arial"/>
                <w:sz w:val="19"/>
                <w:szCs w:val="19"/>
              </w:rPr>
            </w:r>
            <w:r w:rsidR="00317CC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="001A557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72249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A557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7CC6">
              <w:rPr>
                <w:rFonts w:ascii="Arial" w:hAnsi="Arial" w:cs="Arial"/>
                <w:sz w:val="19"/>
                <w:szCs w:val="19"/>
              </w:rPr>
            </w:r>
            <w:r w:rsidR="00317CC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1A5577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="001A5577" w:rsidRPr="005E3B64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FAEC1FA" w14:textId="77777777" w:rsidR="00C010E7" w:rsidRPr="005E3B64" w:rsidRDefault="00C010E7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1FB" w14:textId="77777777" w:rsidR="004F16E5" w:rsidRPr="005E3B64" w:rsidRDefault="004F16E5" w:rsidP="00A57420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FAEC1FC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B64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14:paraId="3FAEC1FD" w14:textId="77777777" w:rsidR="00E34130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11"/>
          </w:p>
          <w:p w14:paraId="3FAEC1FE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  <w:p w14:paraId="3FAEC1FF" w14:textId="77777777" w:rsidR="004D2E87" w:rsidRPr="005E3B64" w:rsidRDefault="004D2E87" w:rsidP="00A57420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187CB2" w:rsidRPr="005E3B64" w14:paraId="3FAEC205" w14:textId="77777777" w:rsidTr="007E488B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3FAEC201" w14:textId="77777777" w:rsidR="004F16E5" w:rsidRPr="005E3B64" w:rsidRDefault="004F16E5" w:rsidP="00A57420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3FAEC202" w14:textId="77777777" w:rsidR="004F16E5" w:rsidRPr="005E3B64" w:rsidRDefault="004F16E5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203" w14:textId="77777777" w:rsidR="004F16E5" w:rsidRPr="005E3B64" w:rsidRDefault="004F16E5" w:rsidP="00A57420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Le remboursement du traitement a-t-il été validé par le médecin-conseil de l’assurance-maladie</w:t>
            </w:r>
            <w:r w:rsidR="002039B1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? </w:t>
            </w:r>
          </w:p>
          <w:p w14:paraId="3FAEC204" w14:textId="77777777" w:rsidR="004F16E5" w:rsidRPr="005E3B64" w:rsidRDefault="004F16E5" w:rsidP="00A57420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7CC6">
              <w:rPr>
                <w:rFonts w:ascii="Arial" w:hAnsi="Arial" w:cs="Arial"/>
                <w:sz w:val="19"/>
                <w:szCs w:val="19"/>
              </w:rPr>
            </w:r>
            <w:r w:rsidR="00317CC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r w:rsidRPr="005E3B64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7CC6">
              <w:rPr>
                <w:rFonts w:ascii="Arial" w:hAnsi="Arial" w:cs="Arial"/>
                <w:sz w:val="19"/>
                <w:szCs w:val="19"/>
              </w:rPr>
            </w:r>
            <w:r w:rsidR="00317CC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 w:rsidRPr="005E3B64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187CB2" w:rsidRPr="005E3B64" w14:paraId="3FAEC20E" w14:textId="77777777" w:rsidTr="007E488B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3FAEC206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207" w14:textId="77777777" w:rsidR="00187CB2" w:rsidRPr="005E3B64" w:rsidRDefault="00187CB2" w:rsidP="00A5742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="00602755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  <w:p w14:paraId="3FAEC208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B64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3FAEC209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A" w14:textId="77777777" w:rsidR="00742650" w:rsidRPr="005E3B64" w:rsidRDefault="00742650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B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C" w14:textId="77777777" w:rsidR="00187CB2" w:rsidRPr="005E3B64" w:rsidRDefault="00187CB2" w:rsidP="00A57420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3FAEC20D" w14:textId="77777777" w:rsidR="00187CB2" w:rsidRPr="005E3B64" w:rsidRDefault="00187CB2" w:rsidP="00A57420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AEC20F" w14:textId="77777777" w:rsidR="006B5A58" w:rsidRPr="005E3B64" w:rsidRDefault="00A57420" w:rsidP="00A57420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AEC210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1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pPr w:leftFromText="141" w:rightFromText="141" w:vertAnchor="page" w:horzAnchor="margin" w:tblpY="4342"/>
        <w:tblW w:w="9322" w:type="dxa"/>
        <w:tblLook w:val="04A0" w:firstRow="1" w:lastRow="0" w:firstColumn="1" w:lastColumn="0" w:noHBand="0" w:noVBand="1"/>
      </w:tblPr>
      <w:tblGrid>
        <w:gridCol w:w="1668"/>
        <w:gridCol w:w="3255"/>
        <w:gridCol w:w="2302"/>
        <w:gridCol w:w="2097"/>
      </w:tblGrid>
      <w:tr w:rsidR="00923601" w:rsidRPr="005E3B64" w14:paraId="3FAEC214" w14:textId="77777777" w:rsidTr="007E488B">
        <w:tc>
          <w:tcPr>
            <w:tcW w:w="9322" w:type="dxa"/>
            <w:gridSpan w:val="4"/>
            <w:shd w:val="clear" w:color="auto" w:fill="EAF1DD" w:themeFill="accent3" w:themeFillTint="33"/>
          </w:tcPr>
          <w:p w14:paraId="3FAEC212" w14:textId="77777777" w:rsidR="00923601" w:rsidRPr="005E3B64" w:rsidRDefault="00923601" w:rsidP="00923601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5E3B64">
              <w:rPr>
                <w:rFonts w:ascii="Arial" w:hAnsi="Arial" w:cs="Arial"/>
                <w:b/>
              </w:rPr>
              <w:t>Protocole adulte ACTEMRA</w:t>
            </w:r>
            <w:r w:rsidRPr="005E3B64">
              <w:rPr>
                <w:rFonts w:ascii="Arial" w:hAnsi="Arial" w:cs="Arial"/>
                <w:vertAlign w:val="superscript"/>
              </w:rPr>
              <w:t>®</w:t>
            </w:r>
            <w:r w:rsidRPr="005E3B64">
              <w:rPr>
                <w:rFonts w:ascii="Arial" w:hAnsi="Arial" w:cs="Arial"/>
              </w:rPr>
              <w:t xml:space="preserve"> (tocilizumab)</w:t>
            </w:r>
          </w:p>
          <w:p w14:paraId="3FAEC213" w14:textId="77777777" w:rsidR="00923601" w:rsidRPr="005E3B64" w:rsidRDefault="00923601" w:rsidP="00923601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</w:rPr>
              <w:t>En perfusion intraveineuse</w:t>
            </w:r>
          </w:p>
        </w:tc>
      </w:tr>
      <w:tr w:rsidR="00923601" w:rsidRPr="005E3B64" w14:paraId="3FAEC21A" w14:textId="77777777" w:rsidTr="007E488B">
        <w:tc>
          <w:tcPr>
            <w:tcW w:w="1668" w:type="dxa"/>
            <w:tcBorders>
              <w:right w:val="nil"/>
            </w:tcBorders>
          </w:tcPr>
          <w:p w14:paraId="3FAEC215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3FAEC216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Flacon de         80 mg/4ml    </w:t>
            </w:r>
          </w:p>
          <w:p w14:paraId="3FAEC217" w14:textId="77777777" w:rsidR="00923601" w:rsidRPr="005E3B64" w:rsidRDefault="00923601" w:rsidP="00923601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Concentration : 20 mg/ml        </w:t>
            </w:r>
            <w:r w:rsidRPr="005E3B64">
              <w:rPr>
                <w:noProof/>
                <w:lang w:eastAsia="fr-CH"/>
              </w:rPr>
              <w:t xml:space="preserve"> 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14:paraId="3FAEC218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       200mg/10ml</w:t>
            </w:r>
          </w:p>
        </w:tc>
        <w:tc>
          <w:tcPr>
            <w:tcW w:w="2097" w:type="dxa"/>
            <w:tcBorders>
              <w:left w:val="nil"/>
            </w:tcBorders>
          </w:tcPr>
          <w:p w14:paraId="3FAEC219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400mg/20ml  </w:t>
            </w:r>
          </w:p>
        </w:tc>
      </w:tr>
    </w:tbl>
    <w:p w14:paraId="3FAEC21B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C" w14:textId="77777777" w:rsidR="005F1849" w:rsidRPr="005E3B64" w:rsidRDefault="005F1849">
      <w:pPr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sz w:val="19"/>
          <w:szCs w:val="19"/>
          <w:u w:val="single"/>
        </w:rPr>
        <w:br w:type="page"/>
      </w:r>
    </w:p>
    <w:p w14:paraId="3FAEC21D" w14:textId="77777777" w:rsidR="006C1E47" w:rsidRPr="005E3B64" w:rsidRDefault="00410ED6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w:lastRenderedPageBreak/>
        <w:drawing>
          <wp:anchor distT="0" distB="0" distL="114300" distR="114300" simplePos="0" relativeHeight="251659264" behindDoc="0" locked="0" layoutInCell="1" allowOverlap="1" wp14:anchorId="3FAEC278" wp14:editId="3FAEC279">
            <wp:simplePos x="0" y="0"/>
            <wp:positionH relativeFrom="column">
              <wp:posOffset>-37465</wp:posOffset>
            </wp:positionH>
            <wp:positionV relativeFrom="paragraph">
              <wp:posOffset>27305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EC27A" wp14:editId="3FAEC27B">
                <wp:simplePos x="0" y="0"/>
                <wp:positionH relativeFrom="column">
                  <wp:posOffset>298450</wp:posOffset>
                </wp:positionH>
                <wp:positionV relativeFrom="paragraph">
                  <wp:posOffset>62865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C290" w14:textId="77777777" w:rsidR="00A458CC" w:rsidRDefault="00A458CC" w:rsidP="006C1E47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5pt;margin-top:4.95pt;width:21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" stroked="f">
                <v:textbox>
                  <w:txbxContent>
                    <w:p w14:paraId="3FAEC290" w14:textId="77777777" w:rsidR="00A458CC" w:rsidRDefault="00A458CC" w:rsidP="006C1E47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EC21E" w14:textId="77777777" w:rsidR="006C1E47" w:rsidRPr="005E3B64" w:rsidRDefault="006C1E47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F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5E3B64" w14:paraId="3FAEC221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AEC220" w14:textId="77777777" w:rsidR="00A458CC" w:rsidRPr="005E3B64" w:rsidRDefault="00A458CC" w:rsidP="006C1E47">
            <w:pPr>
              <w:spacing w:before="120" w:after="12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5E3B64" w14:paraId="3FAEC224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AEC222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3FAEC223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A458CC" w:rsidRPr="005E3B64" w14:paraId="3FAEC22C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3FAEC22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3FAEC226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14:paraId="3FAEC227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flex de NaCl 0.9% 100 ml </w:t>
            </w:r>
          </w:p>
          <w:p w14:paraId="3FAEC228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flex de NaCl 0.9% 50 ml </w:t>
            </w:r>
          </w:p>
          <w:p w14:paraId="3FAEC229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3FAEC22A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3FAEC22B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5E3B64" w14:paraId="3FAEC22F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AEC22D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3FAEC22E" w14:textId="77777777" w:rsidR="00A458CC" w:rsidRPr="005E3B64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5E3B64" w14:paraId="3FAEC238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0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1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3FAEC232" w14:textId="77777777" w:rsidR="00F21EE1" w:rsidRPr="005E3B64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Mesurer la tension artérielle et</w:t>
            </w:r>
            <w:r w:rsidR="005857E8" w:rsidRPr="005E3B64">
              <w:rPr>
                <w:rFonts w:ascii="Arial" w:hAnsi="Arial" w:cs="Arial"/>
                <w:sz w:val="19"/>
                <w:szCs w:val="19"/>
              </w:rPr>
              <w:t xml:space="preserve"> la fréquence cardiaque </w:t>
            </w:r>
          </w:p>
          <w:p w14:paraId="3FAEC233" w14:textId="77777777" w:rsidR="000128C9" w:rsidRPr="005E3B64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3FAEC234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3FAEC235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5E3B64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3FAEC236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3FAEC237" w14:textId="77777777" w:rsidR="009A43F1" w:rsidRPr="005E3B64" w:rsidRDefault="009A43F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5E3B64" w14:paraId="3FAEC23B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9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A" w14:textId="77777777" w:rsidR="00A458CC" w:rsidRPr="005E3B64" w:rsidRDefault="00A458CC" w:rsidP="00410ED6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Sauf avis contraire du médecin, une prémédication n’est en principe pas nécessaire avant l’administration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A458CC" w:rsidRPr="005E3B64" w14:paraId="3FAEC244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C" w14:textId="77777777" w:rsidR="00A458CC" w:rsidRPr="005E3B64" w:rsidRDefault="00A458CC" w:rsidP="00410ED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Préparation de la perfusion d’Actemra</w:t>
            </w:r>
            <w:r w:rsidRPr="005E3B6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D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noProof/>
                <w:lang w:eastAsia="fr-CH"/>
              </w:rPr>
              <w:drawing>
                <wp:inline distT="0" distB="0" distL="0" distR="0" wp14:anchorId="3FAEC27C" wp14:editId="3FAEC27D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Sortir le(s) flacon(s)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préparation pour qu’il(s) ai(en)t atteint la température ambiante à ce moment-là.</w:t>
            </w:r>
          </w:p>
          <w:p w14:paraId="3FAEC23E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 (des) flacon(s)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3FAEC23F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Retirer d’un flex de 100 ml de NaCl 0.9% le volume correspondant à la dose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prescrite</w:t>
            </w:r>
          </w:p>
          <w:p w14:paraId="3FAEC240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Prélever le volume requis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et jeter l’éventuel surplus de produit restant dans la fiole (cf. rubrique « élimination »)</w:t>
            </w:r>
          </w:p>
          <w:p w14:paraId="3FAEC241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Ajouter </w:t>
            </w:r>
            <w:r w:rsidRPr="005E3B64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le volume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prélevé dans la poche de NaCl 0.9% (éviter de faire mousser le produit !)</w:t>
            </w:r>
          </w:p>
          <w:p w14:paraId="3FAEC242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5E3B64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3FAEC243" w14:textId="77777777" w:rsidR="00B8246D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de particules visibles ou d’une coloration importante (une légère coloration jaune ou opalescente peut persister).</w:t>
            </w:r>
          </w:p>
        </w:tc>
      </w:tr>
      <w:tr w:rsidR="00A458CC" w:rsidRPr="005E3B64" w14:paraId="3FAEC247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46" w14:textId="77777777" w:rsidR="00A458CC" w:rsidRPr="005E3B64" w:rsidRDefault="00A458CC" w:rsidP="00410ED6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5E3B64" w14:paraId="3FAEC24E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8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49" w14:textId="77777777" w:rsidR="00A458CC" w:rsidRPr="005E3B64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toutes les 30 minutes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durant l’administration.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FAEC24A" w14:textId="77777777" w:rsidR="00A458CC" w:rsidRPr="005E3B64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3FAEC24B" w14:textId="77777777" w:rsidR="00A458CC" w:rsidRPr="005E3B64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 réactions cutanées, vertiges, céphalées, nausées, vomissements, diarrhées, angio-œdème, difficultés respiratoires, hypo- ou hypertension…</w:t>
            </w:r>
          </w:p>
          <w:p w14:paraId="3FAEC24C" w14:textId="77777777" w:rsidR="00A458CC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3FAEC24D" w14:textId="77777777" w:rsidR="00B154A5" w:rsidRPr="005E3B64" w:rsidRDefault="00B154A5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58CC" w:rsidRPr="005E3B64" w14:paraId="3FAEC260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F" w14:textId="77777777" w:rsidR="00A458CC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lastRenderedPageBreak/>
              <w:t>Administration du traitement</w:t>
            </w:r>
          </w:p>
          <w:p w14:paraId="3FAEC250" w14:textId="77777777" w:rsidR="005F28A8" w:rsidRPr="006A44E2" w:rsidRDefault="005F28A8" w:rsidP="005F28A8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3FAEC251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3FAEC252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3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4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5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6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7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8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9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A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B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C" w14:textId="77777777" w:rsidR="00E55FF9" w:rsidRPr="005E3B64" w:rsidRDefault="00E55FF9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5D" w14:textId="77777777" w:rsidR="00A458CC" w:rsidRPr="005E3B64" w:rsidRDefault="00A458CC" w:rsidP="00AA25D1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Administrer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sur une durée de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minimum 1h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(débit = 100ml/h). </w:t>
            </w:r>
          </w:p>
          <w:p w14:paraId="3FAEC25E" w14:textId="77777777" w:rsidR="00A458CC" w:rsidRPr="005E3B64" w:rsidRDefault="00A458CC" w:rsidP="00410ED6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Après la fin de </w:t>
            </w:r>
            <w:r w:rsidR="00D52081">
              <w:rPr>
                <w:rFonts w:ascii="Arial" w:hAnsi="Arial" w:cs="Arial"/>
                <w:sz w:val="19"/>
                <w:szCs w:val="19"/>
              </w:rPr>
              <w:t>l’administration</w:t>
            </w:r>
            <w:r w:rsidRPr="005E3B64">
              <w:rPr>
                <w:rFonts w:ascii="Arial" w:hAnsi="Arial" w:cs="Arial"/>
                <w:sz w:val="19"/>
                <w:szCs w:val="19"/>
              </w:rPr>
              <w:t>, remplacer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par le flex de  NaCl 0.9% 50ml pour rincer la tubulure durant 15 minutes.</w:t>
            </w:r>
          </w:p>
          <w:p w14:paraId="3FAEC25F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!! Ne pas mélanger une perfusion d’Actemra</w:t>
            </w:r>
            <w:r w:rsidRPr="005E3B6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A458CC" w:rsidRPr="005E3B64" w14:paraId="3FAEC264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61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62" w14:textId="77777777" w:rsidR="00A458CC" w:rsidRPr="005E3B64" w:rsidRDefault="00A458CC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Contrôler la tension artérielle, la fréquence cardiaque et la température du patient 30 minutes après la fin de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FAEC263" w14:textId="77777777" w:rsidR="00A458CC" w:rsidRPr="005E3B64" w:rsidRDefault="00A458CC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jusqu’à 24h après celle-ci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(généralement vertiges, hypotension) et de contacter son médecin le cas échéant.</w:t>
            </w:r>
          </w:p>
        </w:tc>
      </w:tr>
      <w:tr w:rsidR="00A458CC" w:rsidRPr="005E3B64" w14:paraId="3FAEC268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6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66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5E3B64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  <w:p w14:paraId="3FAEC267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  <w:u w:val="single"/>
              </w:rPr>
              <w:t>Flacon entamé</w:t>
            </w:r>
            <w:r w:rsidRPr="005E3B64">
              <w:rPr>
                <w:rFonts w:ascii="Arial" w:hAnsi="Arial" w:cs="Arial"/>
                <w:sz w:val="19"/>
                <w:szCs w:val="19"/>
              </w:rPr>
              <w:t> : à jeter</w:t>
            </w:r>
          </w:p>
        </w:tc>
      </w:tr>
      <w:tr w:rsidR="00A458CC" w:rsidRPr="005E3B64" w14:paraId="3FAEC26B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69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6A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3FAEC26C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6D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6E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sz w:val="20"/>
          <w:szCs w:val="20"/>
        </w:rPr>
        <w:t xml:space="preserve">         </w:t>
      </w:r>
    </w:p>
    <w:p w14:paraId="3FAEC26F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70" w14:textId="77777777" w:rsidR="00BB4089" w:rsidRPr="005E3B64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5E3B64">
        <w:rPr>
          <w:rFonts w:ascii="Arial" w:hAnsi="Arial" w:cs="Arial"/>
          <w:sz w:val="19"/>
          <w:szCs w:val="19"/>
          <w:u w:val="single"/>
        </w:rPr>
        <w:t>s</w:t>
      </w:r>
      <w:r w:rsidRPr="005E3B64">
        <w:rPr>
          <w:rFonts w:ascii="Arial" w:hAnsi="Arial" w:cs="Arial"/>
          <w:sz w:val="19"/>
          <w:szCs w:val="19"/>
        </w:rPr>
        <w:t xml:space="preserve"> : </w:t>
      </w:r>
    </w:p>
    <w:p w14:paraId="3FAEC271" w14:textId="77777777" w:rsidR="00322F91" w:rsidRPr="005E3B64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>Swissmedicinfo.ch, 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>, 08.2018</w:t>
      </w:r>
    </w:p>
    <w:p w14:paraId="3FAEC272" w14:textId="77777777" w:rsidR="00BB4089" w:rsidRPr="005E3B64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>Brochure Roche « 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 xml:space="preserve"> - lors de polyarthrite rhumatoïde : aspects pratiques »</w:t>
      </w:r>
      <w:r w:rsidR="00092C5B" w:rsidRPr="005E3B64">
        <w:rPr>
          <w:rFonts w:ascii="Arial" w:hAnsi="Arial" w:cs="Arial"/>
          <w:sz w:val="19"/>
          <w:szCs w:val="19"/>
        </w:rPr>
        <w:t>, 03.2017</w:t>
      </w:r>
    </w:p>
    <w:p w14:paraId="3FAEC273" w14:textId="77777777" w:rsidR="00BB4089" w:rsidRPr="005E3B64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Contacts avec </w:t>
      </w:r>
      <w:r w:rsidR="00092C5B" w:rsidRPr="005E3B64">
        <w:rPr>
          <w:rFonts w:ascii="Arial" w:hAnsi="Arial" w:cs="Arial"/>
          <w:sz w:val="19"/>
          <w:szCs w:val="19"/>
        </w:rPr>
        <w:t xml:space="preserve">la firme </w:t>
      </w:r>
      <w:r w:rsidRPr="005E3B64">
        <w:rPr>
          <w:rFonts w:ascii="Arial" w:hAnsi="Arial" w:cs="Arial"/>
          <w:sz w:val="19"/>
          <w:szCs w:val="19"/>
        </w:rPr>
        <w:t>Roche Pharma</w:t>
      </w:r>
      <w:r w:rsidR="00092C5B" w:rsidRPr="005E3B64">
        <w:rPr>
          <w:rFonts w:ascii="Arial" w:hAnsi="Arial" w:cs="Arial"/>
          <w:sz w:val="19"/>
          <w:szCs w:val="19"/>
        </w:rPr>
        <w:t>, 08.2018</w:t>
      </w:r>
    </w:p>
    <w:p w14:paraId="3FAEC274" w14:textId="77777777" w:rsidR="00B02527" w:rsidRPr="005E3B64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Listedesspecialites.ch, </w:t>
      </w:r>
      <w:r w:rsidR="00C010E7">
        <w:rPr>
          <w:rFonts w:ascii="Arial" w:hAnsi="Arial" w:cs="Arial"/>
          <w:sz w:val="19"/>
          <w:szCs w:val="19"/>
        </w:rPr>
        <w:t>05.2020</w:t>
      </w:r>
    </w:p>
    <w:p w14:paraId="3FAEC275" w14:textId="77777777" w:rsidR="0046287B" w:rsidRPr="005E3B64" w:rsidRDefault="002022BD" w:rsidP="0046287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Recommandations de la Société Suisse de Rhumatologie </w:t>
      </w:r>
      <w:r w:rsidR="00BA197B" w:rsidRPr="005E3B64">
        <w:rPr>
          <w:rFonts w:ascii="Arial" w:hAnsi="Arial" w:cs="Arial"/>
          <w:sz w:val="19"/>
          <w:szCs w:val="19"/>
        </w:rPr>
        <w:t>pour le traitement de fond par t</w:t>
      </w:r>
      <w:r w:rsidRPr="005E3B64">
        <w:rPr>
          <w:rFonts w:ascii="Arial" w:hAnsi="Arial" w:cs="Arial"/>
          <w:sz w:val="19"/>
          <w:szCs w:val="19"/>
        </w:rPr>
        <w:t>ocilizumab (Actemra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>), 02.2015</w:t>
      </w:r>
      <w:r w:rsidR="0046287B" w:rsidRPr="005E3B64">
        <w:rPr>
          <w:rFonts w:ascii="Arial" w:hAnsi="Arial" w:cs="Arial"/>
          <w:sz w:val="19"/>
          <w:szCs w:val="19"/>
        </w:rPr>
        <w:t xml:space="preserve"> </w:t>
      </w:r>
    </w:p>
    <w:p w14:paraId="3FAEC276" w14:textId="77777777" w:rsidR="002022BD" w:rsidRDefault="00317CC6" w:rsidP="0046287B">
      <w:pPr>
        <w:pStyle w:val="Paragraphedeliste"/>
        <w:jc w:val="both"/>
        <w:rPr>
          <w:rFonts w:ascii="Arial" w:hAnsi="Arial" w:cs="Arial"/>
          <w:sz w:val="19"/>
          <w:szCs w:val="19"/>
        </w:rPr>
      </w:pPr>
      <w:hyperlink r:id="rId11" w:history="1">
        <w:r w:rsidR="00BA197B" w:rsidRPr="005E3B64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p w14:paraId="3FAEC277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default" r:id="rId12"/>
      <w:footerReference w:type="defaul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C280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3FAEC281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FAEC285" w14:textId="6469D9BC" w:rsidR="005F28A8" w:rsidRPr="005F28A8" w:rsidRDefault="00B02527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B52929">
          <w:rPr>
            <w:rFonts w:ascii="Arial" w:hAnsi="Arial" w:cs="Arial"/>
            <w:sz w:val="16"/>
            <w:szCs w:val="16"/>
          </w:rPr>
          <w:t>05.2020</w:t>
        </w:r>
        <w:r w:rsidR="00B056D5">
          <w:rPr>
            <w:rFonts w:ascii="Arial" w:hAnsi="Arial" w:cs="Arial"/>
            <w:sz w:val="16"/>
            <w:szCs w:val="16"/>
          </w:rPr>
          <w:tab/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3FAEC286" w14:textId="57BCDF88" w:rsidR="005F28A8" w:rsidRDefault="00B056D5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GED.PRC.182</w:t>
        </w:r>
        <w:r w:rsidR="008A3FCE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ab/>
        </w:r>
        <w:r w:rsidR="005F28A8">
          <w:rPr>
            <w:rFonts w:ascii="Arial" w:hAnsi="Arial" w:cs="Arial"/>
            <w:sz w:val="16"/>
            <w:szCs w:val="16"/>
          </w:rPr>
          <w:t xml:space="preserve">eHnv, </w:t>
        </w:r>
        <w:r w:rsidR="005F28A8" w:rsidRPr="008F353C">
          <w:rPr>
            <w:rFonts w:ascii="Arial" w:hAnsi="Arial" w:cs="Arial"/>
            <w:sz w:val="16"/>
            <w:szCs w:val="16"/>
          </w:rPr>
          <w:t>HIB, PSVJ et RSBJ. Nous décl</w:t>
        </w:r>
        <w:r w:rsidR="005F28A8"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3FAEC287" w14:textId="7AB94E8A" w:rsidR="00B21930" w:rsidRPr="00BB4089" w:rsidRDefault="005F28A8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8A3FCE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317CC6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C27E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3FAEC27F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C283" w14:textId="77777777" w:rsidR="00BC69B8" w:rsidRDefault="00A5742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3FAEC28A" wp14:editId="3FAEC28B">
          <wp:simplePos x="0" y="0"/>
          <wp:positionH relativeFrom="column">
            <wp:posOffset>1754060</wp:posOffset>
          </wp:positionH>
          <wp:positionV relativeFrom="paragraph">
            <wp:posOffset>-286442</wp:posOffset>
          </wp:positionV>
          <wp:extent cx="2142698" cy="4981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142698" cy="498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3FAEC28C" wp14:editId="3FAEC28D">
          <wp:simplePos x="0" y="0"/>
          <wp:positionH relativeFrom="column">
            <wp:posOffset>866775</wp:posOffset>
          </wp:positionH>
          <wp:positionV relativeFrom="paragraph">
            <wp:posOffset>-313690</wp:posOffset>
          </wp:positionV>
          <wp:extent cx="698500" cy="6667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" t="6500"/>
                  <a:stretch/>
                </pic:blipFill>
                <pic:spPr bwMode="auto">
                  <a:xfrm>
                    <a:off x="0" y="0"/>
                    <a:ext cx="6985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FAEC28E" wp14:editId="3FAEC28F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lVRcX2mBdy/xYS+/JqluXXFlYc=" w:salt="cqfyufI7xPHtf1hnEh0x0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66300"/>
    <w:rsid w:val="00087226"/>
    <w:rsid w:val="000911F8"/>
    <w:rsid w:val="00092C5B"/>
    <w:rsid w:val="000A2CE4"/>
    <w:rsid w:val="000B7C9A"/>
    <w:rsid w:val="000D039B"/>
    <w:rsid w:val="000D06D9"/>
    <w:rsid w:val="000D5E3B"/>
    <w:rsid w:val="000E4AAA"/>
    <w:rsid w:val="000F0FED"/>
    <w:rsid w:val="000F3A7B"/>
    <w:rsid w:val="001157D9"/>
    <w:rsid w:val="0014443D"/>
    <w:rsid w:val="0015778B"/>
    <w:rsid w:val="00182928"/>
    <w:rsid w:val="00187CB2"/>
    <w:rsid w:val="001A5577"/>
    <w:rsid w:val="001A5A95"/>
    <w:rsid w:val="001C1076"/>
    <w:rsid w:val="001C1F67"/>
    <w:rsid w:val="001C2231"/>
    <w:rsid w:val="001D1413"/>
    <w:rsid w:val="001D2AF8"/>
    <w:rsid w:val="001D4386"/>
    <w:rsid w:val="001E49E7"/>
    <w:rsid w:val="002022BD"/>
    <w:rsid w:val="002039B1"/>
    <w:rsid w:val="00210014"/>
    <w:rsid w:val="00217F89"/>
    <w:rsid w:val="0022325B"/>
    <w:rsid w:val="00231E1F"/>
    <w:rsid w:val="002468F7"/>
    <w:rsid w:val="00246BD4"/>
    <w:rsid w:val="00247356"/>
    <w:rsid w:val="00260952"/>
    <w:rsid w:val="0027574D"/>
    <w:rsid w:val="00284B43"/>
    <w:rsid w:val="002878DD"/>
    <w:rsid w:val="002A5F76"/>
    <w:rsid w:val="002B22CB"/>
    <w:rsid w:val="002B568A"/>
    <w:rsid w:val="002C46F9"/>
    <w:rsid w:val="002D2690"/>
    <w:rsid w:val="002D42ED"/>
    <w:rsid w:val="002D734F"/>
    <w:rsid w:val="002F3308"/>
    <w:rsid w:val="0030495A"/>
    <w:rsid w:val="0030712A"/>
    <w:rsid w:val="00312761"/>
    <w:rsid w:val="00317CC6"/>
    <w:rsid w:val="00321442"/>
    <w:rsid w:val="0032174A"/>
    <w:rsid w:val="00322F91"/>
    <w:rsid w:val="00327277"/>
    <w:rsid w:val="003343B0"/>
    <w:rsid w:val="00335926"/>
    <w:rsid w:val="003516E8"/>
    <w:rsid w:val="00355691"/>
    <w:rsid w:val="0036261A"/>
    <w:rsid w:val="00362FD3"/>
    <w:rsid w:val="003658AD"/>
    <w:rsid w:val="00365E3F"/>
    <w:rsid w:val="00370144"/>
    <w:rsid w:val="00376161"/>
    <w:rsid w:val="00386A57"/>
    <w:rsid w:val="003A3640"/>
    <w:rsid w:val="003A7817"/>
    <w:rsid w:val="003C284F"/>
    <w:rsid w:val="003D1C55"/>
    <w:rsid w:val="003D7DB7"/>
    <w:rsid w:val="003E5BAD"/>
    <w:rsid w:val="003E6EEB"/>
    <w:rsid w:val="004013D9"/>
    <w:rsid w:val="00406497"/>
    <w:rsid w:val="00410ED6"/>
    <w:rsid w:val="00425A18"/>
    <w:rsid w:val="00441462"/>
    <w:rsid w:val="00443DA1"/>
    <w:rsid w:val="00444CC7"/>
    <w:rsid w:val="00446490"/>
    <w:rsid w:val="00457A67"/>
    <w:rsid w:val="00461D77"/>
    <w:rsid w:val="0046287B"/>
    <w:rsid w:val="00475CCA"/>
    <w:rsid w:val="00486462"/>
    <w:rsid w:val="004B611E"/>
    <w:rsid w:val="004C2131"/>
    <w:rsid w:val="004C3349"/>
    <w:rsid w:val="004C5B38"/>
    <w:rsid w:val="004D2E87"/>
    <w:rsid w:val="004E1A7B"/>
    <w:rsid w:val="004E70C3"/>
    <w:rsid w:val="004F16E5"/>
    <w:rsid w:val="00512C94"/>
    <w:rsid w:val="00513568"/>
    <w:rsid w:val="005216F7"/>
    <w:rsid w:val="005249BC"/>
    <w:rsid w:val="00550B04"/>
    <w:rsid w:val="00561E6C"/>
    <w:rsid w:val="00562529"/>
    <w:rsid w:val="005857E8"/>
    <w:rsid w:val="005859FF"/>
    <w:rsid w:val="005874BE"/>
    <w:rsid w:val="00593B9E"/>
    <w:rsid w:val="005C10BD"/>
    <w:rsid w:val="005C66A0"/>
    <w:rsid w:val="005D142A"/>
    <w:rsid w:val="005D341F"/>
    <w:rsid w:val="005E3B64"/>
    <w:rsid w:val="005E5DC8"/>
    <w:rsid w:val="005F1849"/>
    <w:rsid w:val="005F23BB"/>
    <w:rsid w:val="005F28A8"/>
    <w:rsid w:val="005F3F68"/>
    <w:rsid w:val="00602755"/>
    <w:rsid w:val="006066A7"/>
    <w:rsid w:val="00632FC5"/>
    <w:rsid w:val="00655028"/>
    <w:rsid w:val="00670FE5"/>
    <w:rsid w:val="00687169"/>
    <w:rsid w:val="006A7F42"/>
    <w:rsid w:val="006B1B28"/>
    <w:rsid w:val="006B3E70"/>
    <w:rsid w:val="006B51C9"/>
    <w:rsid w:val="006B5A58"/>
    <w:rsid w:val="006B7456"/>
    <w:rsid w:val="006C1E47"/>
    <w:rsid w:val="006C2282"/>
    <w:rsid w:val="006C550D"/>
    <w:rsid w:val="006D0716"/>
    <w:rsid w:val="006D1152"/>
    <w:rsid w:val="006D2197"/>
    <w:rsid w:val="006E01F9"/>
    <w:rsid w:val="006E09E3"/>
    <w:rsid w:val="007043B9"/>
    <w:rsid w:val="00713CBD"/>
    <w:rsid w:val="00715E8E"/>
    <w:rsid w:val="0072249B"/>
    <w:rsid w:val="00722CA4"/>
    <w:rsid w:val="00727ACB"/>
    <w:rsid w:val="00731777"/>
    <w:rsid w:val="00733650"/>
    <w:rsid w:val="00742650"/>
    <w:rsid w:val="00747475"/>
    <w:rsid w:val="00756FC1"/>
    <w:rsid w:val="00763F74"/>
    <w:rsid w:val="00766818"/>
    <w:rsid w:val="007677BA"/>
    <w:rsid w:val="007809ED"/>
    <w:rsid w:val="00797CEF"/>
    <w:rsid w:val="007A3835"/>
    <w:rsid w:val="007B31B0"/>
    <w:rsid w:val="007C43FD"/>
    <w:rsid w:val="007C7A6E"/>
    <w:rsid w:val="007E00FD"/>
    <w:rsid w:val="007E488B"/>
    <w:rsid w:val="007F6E25"/>
    <w:rsid w:val="00805FDB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A3FCE"/>
    <w:rsid w:val="008B21DF"/>
    <w:rsid w:val="008B608C"/>
    <w:rsid w:val="008C23E2"/>
    <w:rsid w:val="008D1BE7"/>
    <w:rsid w:val="008D347A"/>
    <w:rsid w:val="008E6A94"/>
    <w:rsid w:val="008F2547"/>
    <w:rsid w:val="0091171D"/>
    <w:rsid w:val="00912343"/>
    <w:rsid w:val="00923601"/>
    <w:rsid w:val="00925F11"/>
    <w:rsid w:val="009318E3"/>
    <w:rsid w:val="00934510"/>
    <w:rsid w:val="00940494"/>
    <w:rsid w:val="00947563"/>
    <w:rsid w:val="009706F8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5991"/>
    <w:rsid w:val="00AD1E09"/>
    <w:rsid w:val="00AE031A"/>
    <w:rsid w:val="00AF744B"/>
    <w:rsid w:val="00B02527"/>
    <w:rsid w:val="00B056D5"/>
    <w:rsid w:val="00B154A5"/>
    <w:rsid w:val="00B16C9C"/>
    <w:rsid w:val="00B21930"/>
    <w:rsid w:val="00B2386D"/>
    <w:rsid w:val="00B41AB8"/>
    <w:rsid w:val="00B52929"/>
    <w:rsid w:val="00B62608"/>
    <w:rsid w:val="00B748EA"/>
    <w:rsid w:val="00B8246D"/>
    <w:rsid w:val="00B96D60"/>
    <w:rsid w:val="00BA10A6"/>
    <w:rsid w:val="00BA197B"/>
    <w:rsid w:val="00BB4089"/>
    <w:rsid w:val="00BC69B8"/>
    <w:rsid w:val="00BC7355"/>
    <w:rsid w:val="00BD1B54"/>
    <w:rsid w:val="00BF6597"/>
    <w:rsid w:val="00C010E7"/>
    <w:rsid w:val="00C02106"/>
    <w:rsid w:val="00C11804"/>
    <w:rsid w:val="00C41C89"/>
    <w:rsid w:val="00C4369E"/>
    <w:rsid w:val="00C44808"/>
    <w:rsid w:val="00C50B0A"/>
    <w:rsid w:val="00C54BBC"/>
    <w:rsid w:val="00C72424"/>
    <w:rsid w:val="00C76013"/>
    <w:rsid w:val="00C76EAF"/>
    <w:rsid w:val="00C908AE"/>
    <w:rsid w:val="00C90F67"/>
    <w:rsid w:val="00C95370"/>
    <w:rsid w:val="00CA256D"/>
    <w:rsid w:val="00CB291E"/>
    <w:rsid w:val="00CC1186"/>
    <w:rsid w:val="00D052A0"/>
    <w:rsid w:val="00D13FD9"/>
    <w:rsid w:val="00D1753F"/>
    <w:rsid w:val="00D179D3"/>
    <w:rsid w:val="00D2332F"/>
    <w:rsid w:val="00D33EC4"/>
    <w:rsid w:val="00D45534"/>
    <w:rsid w:val="00D51AC3"/>
    <w:rsid w:val="00D52081"/>
    <w:rsid w:val="00D64B7E"/>
    <w:rsid w:val="00D64F56"/>
    <w:rsid w:val="00D67A30"/>
    <w:rsid w:val="00D81387"/>
    <w:rsid w:val="00DA54E8"/>
    <w:rsid w:val="00DB022A"/>
    <w:rsid w:val="00DB6E36"/>
    <w:rsid w:val="00DD3FD9"/>
    <w:rsid w:val="00DE699D"/>
    <w:rsid w:val="00DF57E3"/>
    <w:rsid w:val="00DF78AD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5FF9"/>
    <w:rsid w:val="00E64AEE"/>
    <w:rsid w:val="00E83492"/>
    <w:rsid w:val="00E928EB"/>
    <w:rsid w:val="00E97A85"/>
    <w:rsid w:val="00EA4BC8"/>
    <w:rsid w:val="00EA4CCF"/>
    <w:rsid w:val="00EB4D34"/>
    <w:rsid w:val="00EB5AF5"/>
    <w:rsid w:val="00EC3B93"/>
    <w:rsid w:val="00EC560D"/>
    <w:rsid w:val="00EC5B79"/>
    <w:rsid w:val="00EC7746"/>
    <w:rsid w:val="00ED1F1F"/>
    <w:rsid w:val="00EE1453"/>
    <w:rsid w:val="00EE33CE"/>
    <w:rsid w:val="00EE6A77"/>
    <w:rsid w:val="00EF65E1"/>
    <w:rsid w:val="00EF7959"/>
    <w:rsid w:val="00F03576"/>
    <w:rsid w:val="00F21EE1"/>
    <w:rsid w:val="00F3793E"/>
    <w:rsid w:val="00F45A9A"/>
    <w:rsid w:val="00F45F95"/>
    <w:rsid w:val="00F80440"/>
    <w:rsid w:val="00F827AB"/>
    <w:rsid w:val="00F91879"/>
    <w:rsid w:val="00F96403"/>
    <w:rsid w:val="00F97F89"/>
    <w:rsid w:val="00FA2C18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FAEC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heuma-net.ch/fr/informations-d-experts/recommandations-traiteme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7077-7749-4023-857E-6213249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2E9D8CE8.dotm</Template>
  <TotalTime>73</TotalTime>
  <Pages>3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MichelOd</cp:lastModifiedBy>
  <cp:revision>29</cp:revision>
  <cp:lastPrinted>2018-11-16T07:37:00Z</cp:lastPrinted>
  <dcterms:created xsi:type="dcterms:W3CDTF">2019-02-11T08:43:00Z</dcterms:created>
  <dcterms:modified xsi:type="dcterms:W3CDTF">2020-08-12T06:59:00Z</dcterms:modified>
</cp:coreProperties>
</file>