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5D9E" w14:textId="77777777" w:rsidR="00893B73" w:rsidRDefault="00893B73" w:rsidP="000E4AAA">
      <w:pPr>
        <w:jc w:val="both"/>
        <w:rPr>
          <w:rFonts w:ascii="Arial" w:hAnsi="Arial" w:cs="Arial"/>
          <w:b/>
          <w:highlight w:val="cyan"/>
        </w:rPr>
      </w:pPr>
    </w:p>
    <w:p w14:paraId="01125D9F" w14:textId="77777777" w:rsidR="00887BC5" w:rsidRPr="00DE57B0" w:rsidRDefault="0011423F" w:rsidP="000E4AAA">
      <w:pPr>
        <w:jc w:val="both"/>
        <w:rPr>
          <w:rFonts w:ascii="Arial" w:hAnsi="Arial" w:cs="Arial"/>
          <w:b/>
          <w:highlight w:val="cyan"/>
        </w:rPr>
      </w:pPr>
      <w:r w:rsidRPr="00DE57B0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125E4F" wp14:editId="01125E50">
                <wp:simplePos x="0" y="0"/>
                <wp:positionH relativeFrom="column">
                  <wp:posOffset>334286</wp:posOffset>
                </wp:positionH>
                <wp:positionV relativeFrom="paragraph">
                  <wp:posOffset>1476789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5E6B" w14:textId="77777777" w:rsidR="00F51AAC" w:rsidRDefault="00F51AAC" w:rsidP="00F51AAC">
                            <w:pPr>
                              <w:spacing w:after="12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25E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.3pt;margin-top:116.3pt;width:213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S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" stroked="f">
                <v:textbox>
                  <w:txbxContent>
                    <w:p w14:paraId="01125E6B" w14:textId="77777777" w:rsidR="00F51AAC" w:rsidRDefault="00F51AAC" w:rsidP="00F51AAC">
                      <w:pPr>
                        <w:spacing w:after="12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="00893B73" w:rsidRPr="00DE57B0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drawing>
          <wp:anchor distT="0" distB="0" distL="114300" distR="114300" simplePos="0" relativeHeight="251663360" behindDoc="0" locked="0" layoutInCell="1" allowOverlap="1" wp14:anchorId="01125E51" wp14:editId="01125E52">
            <wp:simplePos x="0" y="0"/>
            <wp:positionH relativeFrom="column">
              <wp:posOffset>-62948</wp:posOffset>
            </wp:positionH>
            <wp:positionV relativeFrom="paragraph">
              <wp:posOffset>1411908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2255"/>
        <w:tblW w:w="9322" w:type="dxa"/>
        <w:tblLook w:val="04A0" w:firstRow="1" w:lastRow="0" w:firstColumn="1" w:lastColumn="0" w:noHBand="0" w:noVBand="1"/>
      </w:tblPr>
      <w:tblGrid>
        <w:gridCol w:w="1668"/>
        <w:gridCol w:w="3255"/>
        <w:gridCol w:w="2302"/>
        <w:gridCol w:w="2097"/>
      </w:tblGrid>
      <w:tr w:rsidR="00893B73" w:rsidRPr="00FA670B" w14:paraId="01125DA3" w14:textId="77777777" w:rsidTr="00893B73">
        <w:tc>
          <w:tcPr>
            <w:tcW w:w="9322" w:type="dxa"/>
            <w:gridSpan w:val="4"/>
            <w:shd w:val="clear" w:color="auto" w:fill="EAF1DD" w:themeFill="accent3" w:themeFillTint="33"/>
          </w:tcPr>
          <w:p w14:paraId="01125DA0" w14:textId="77777777" w:rsidR="00893B73" w:rsidRDefault="00893B73" w:rsidP="00893B7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A670B">
              <w:rPr>
                <w:rFonts w:ascii="Arial" w:hAnsi="Arial" w:cs="Arial"/>
                <w:b/>
              </w:rPr>
              <w:t>Protocole adulte RITUXIMAB</w:t>
            </w:r>
            <w:r w:rsidRPr="00FA670B">
              <w:rPr>
                <w:rFonts w:ascii="Arial" w:hAnsi="Arial" w:cs="Arial"/>
              </w:rPr>
              <w:t xml:space="preserve"> (Mabthera</w:t>
            </w:r>
            <w:r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, Rixathon</w:t>
            </w:r>
            <w:r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, Truxima</w:t>
            </w:r>
            <w:r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</w:t>
            </w:r>
            <w:r w:rsidRPr="00FA670B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perf.</w:t>
            </w:r>
            <w:r w:rsidRPr="00FA670B">
              <w:rPr>
                <w:rFonts w:ascii="Arial" w:hAnsi="Arial" w:cs="Arial"/>
              </w:rPr>
              <w:t xml:space="preserve"> intraveineuse</w:t>
            </w:r>
          </w:p>
          <w:p w14:paraId="01125DA1" w14:textId="77777777" w:rsidR="00893B73" w:rsidRDefault="00893B73" w:rsidP="00893B7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comme traitement </w:t>
            </w:r>
            <w:r w:rsidRPr="00017674">
              <w:rPr>
                <w:rFonts w:ascii="Arial" w:hAnsi="Arial" w:cs="Arial"/>
                <w:b/>
              </w:rPr>
              <w:t>oncologique</w:t>
            </w:r>
            <w:r>
              <w:rPr>
                <w:rFonts w:ascii="Arial" w:hAnsi="Arial" w:cs="Arial"/>
              </w:rPr>
              <w:t xml:space="preserve"> ou de la </w:t>
            </w:r>
            <w:r w:rsidRPr="00017674">
              <w:rPr>
                <w:rFonts w:ascii="Arial" w:hAnsi="Arial" w:cs="Arial"/>
                <w:b/>
              </w:rPr>
              <w:t>vascularite</w:t>
            </w:r>
            <w:r>
              <w:rPr>
                <w:rFonts w:ascii="Arial" w:hAnsi="Arial" w:cs="Arial"/>
                <w:b/>
              </w:rPr>
              <w:t xml:space="preserve"> associée aux ANCA</w:t>
            </w:r>
          </w:p>
          <w:p w14:paraId="01125DA2" w14:textId="77777777" w:rsidR="00893B73" w:rsidRPr="00FA670B" w:rsidRDefault="00893B73" w:rsidP="00893B73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B6A86">
              <w:rPr>
                <w:rFonts w:ascii="Arial" w:hAnsi="Arial" w:cs="Arial"/>
                <w:sz w:val="18"/>
                <w:szCs w:val="18"/>
              </w:rPr>
              <w:t xml:space="preserve">(pour </w:t>
            </w:r>
            <w:r>
              <w:rPr>
                <w:rFonts w:ascii="Arial" w:hAnsi="Arial" w:cs="Arial"/>
                <w:sz w:val="18"/>
                <w:szCs w:val="18"/>
              </w:rPr>
              <w:t>le traitement de la polyarthrite rhumatoïde</w:t>
            </w:r>
            <w:r w:rsidRPr="000B6A86">
              <w:rPr>
                <w:rFonts w:ascii="Arial" w:hAnsi="Arial" w:cs="Arial"/>
                <w:sz w:val="18"/>
                <w:szCs w:val="18"/>
              </w:rPr>
              <w:t>, se référer au protocole ad hoc)</w:t>
            </w:r>
          </w:p>
        </w:tc>
      </w:tr>
      <w:tr w:rsidR="00893B73" w:rsidRPr="00FA670B" w14:paraId="01125DA9" w14:textId="77777777" w:rsidTr="00893B73">
        <w:tc>
          <w:tcPr>
            <w:tcW w:w="1668" w:type="dxa"/>
            <w:tcBorders>
              <w:right w:val="nil"/>
            </w:tcBorders>
          </w:tcPr>
          <w:p w14:paraId="01125DA4" w14:textId="77777777" w:rsidR="00893B73" w:rsidRPr="00FA670B" w:rsidRDefault="00893B73" w:rsidP="00893B73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A670B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01125DA5" w14:textId="77777777" w:rsidR="00893B73" w:rsidRPr="00FA670B" w:rsidRDefault="00893B73" w:rsidP="00893B7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Flacon de         100mg/10ml    </w:t>
            </w:r>
          </w:p>
          <w:p w14:paraId="01125DA6" w14:textId="77777777" w:rsidR="00893B73" w:rsidRPr="00FA670B" w:rsidRDefault="00893B73" w:rsidP="00893B73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Concentration : 10 mg/ml        </w:t>
            </w:r>
            <w:r w:rsidRPr="00FA670B">
              <w:rPr>
                <w:noProof/>
                <w:lang w:eastAsia="fr-CH"/>
              </w:rPr>
              <w:t xml:space="preserve"> </w:t>
            </w:r>
          </w:p>
        </w:tc>
        <w:tc>
          <w:tcPr>
            <w:tcW w:w="2302" w:type="dxa"/>
            <w:tcBorders>
              <w:left w:val="nil"/>
              <w:right w:val="nil"/>
            </w:tcBorders>
          </w:tcPr>
          <w:p w14:paraId="01125DA7" w14:textId="77777777" w:rsidR="00893B73" w:rsidRPr="00FA670B" w:rsidRDefault="00893B73" w:rsidP="00893B7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       500mg/50ml</w:t>
            </w:r>
          </w:p>
        </w:tc>
        <w:tc>
          <w:tcPr>
            <w:tcW w:w="2097" w:type="dxa"/>
            <w:tcBorders>
              <w:left w:val="nil"/>
            </w:tcBorders>
          </w:tcPr>
          <w:p w14:paraId="01125DA8" w14:textId="77777777" w:rsidR="00893B73" w:rsidRPr="00FA670B" w:rsidRDefault="00893B73" w:rsidP="00893B7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14:paraId="01125DAA" w14:textId="77777777" w:rsidR="00F51AAC" w:rsidRPr="00893B73" w:rsidRDefault="0074285D" w:rsidP="00893B73">
      <w:pPr>
        <w:spacing w:after="0"/>
        <w:jc w:val="both"/>
        <w:rPr>
          <w:rFonts w:ascii="Arial" w:hAnsi="Arial" w:cs="Arial"/>
          <w:highlight w:val="cyan"/>
        </w:rPr>
      </w:pPr>
      <w:r w:rsidRPr="004F57F4">
        <w:rPr>
          <w:rFonts w:ascii="Arial" w:hAnsi="Arial" w:cs="Arial"/>
          <w:noProof/>
          <w:sz w:val="20"/>
          <w:lang w:eastAsia="fr-CH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01125E53" wp14:editId="01125E54">
                <wp:simplePos x="0" y="0"/>
                <wp:positionH relativeFrom="column">
                  <wp:posOffset>-1216343</wp:posOffset>
                </wp:positionH>
                <wp:positionV relativeFrom="paragraph">
                  <wp:posOffset>897269</wp:posOffset>
                </wp:positionV>
                <wp:extent cx="1711325" cy="297180"/>
                <wp:effectExtent l="2223" t="0" r="24447" b="24448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1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5E6C" w14:textId="77777777" w:rsidR="004F57F4" w:rsidRDefault="004F57F4" w:rsidP="004F57F4">
                            <w:r>
                              <w:t xml:space="preserve">Protocole Rituximab </w:t>
                            </w:r>
                            <w:r w:rsidRPr="00E92E44">
                              <w:rPr>
                                <w:b/>
                              </w:rPr>
                              <w:t>onco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5E53" id="_x0000_s1027" type="#_x0000_t202" style="position:absolute;left:0;text-align:left;margin-left:-95.8pt;margin-top:70.65pt;width:134.75pt;height:23.4pt;rotation:-90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">
                <v:textbox>
                  <w:txbxContent>
                    <w:p w14:paraId="01125E6C" w14:textId="77777777" w:rsidR="004F57F4" w:rsidRDefault="004F57F4" w:rsidP="004F57F4">
                      <w:r>
                        <w:t xml:space="preserve">Protocole Rituximab </w:t>
                      </w:r>
                      <w:r w:rsidRPr="00E92E44">
                        <w:rPr>
                          <w:b/>
                        </w:rPr>
                        <w:t>onco</w:t>
                      </w:r>
                    </w:p>
                  </w:txbxContent>
                </v:textbox>
              </v:shape>
            </w:pict>
          </mc:Fallback>
        </mc:AlternateContent>
      </w:r>
      <w:r w:rsidR="00893B73">
        <w:rPr>
          <w:rFonts w:ascii="Arial" w:hAnsi="Arial" w:cs="Arial"/>
          <w:highlight w:val="cyan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DE57B0" w14:paraId="01125DAC" w14:textId="77777777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125DAB" w14:textId="77777777" w:rsidR="00A458CC" w:rsidRPr="005E33C3" w:rsidRDefault="00A458CC" w:rsidP="00DF0EB4">
            <w:pPr>
              <w:spacing w:before="40" w:after="40"/>
              <w:rPr>
                <w:rFonts w:ascii="Arial" w:hAnsi="Arial" w:cs="Arial"/>
                <w:b/>
              </w:rPr>
            </w:pPr>
            <w:r w:rsidRPr="005E33C3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DE57B0" w14:paraId="01125DAF" w14:textId="77777777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1125DAD" w14:textId="77777777" w:rsidR="00A458CC" w:rsidRPr="005E33C3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3C3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01125DAE" w14:textId="77777777" w:rsidR="00A458CC" w:rsidRPr="005E33C3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3C3">
              <w:rPr>
                <w:rFonts w:ascii="Arial" w:hAnsi="Arial" w:cs="Arial"/>
                <w:sz w:val="19"/>
                <w:szCs w:val="19"/>
              </w:rPr>
              <w:t>Commander le produit à la pha</w:t>
            </w:r>
            <w:r w:rsidR="00E92E44">
              <w:rPr>
                <w:rFonts w:ascii="Arial" w:hAnsi="Arial" w:cs="Arial"/>
                <w:sz w:val="19"/>
                <w:szCs w:val="19"/>
              </w:rPr>
              <w:t>rmacie de l’hôpital au minimum 3</w:t>
            </w:r>
            <w:r w:rsidRPr="005E33C3">
              <w:rPr>
                <w:rFonts w:ascii="Arial" w:hAnsi="Arial" w:cs="Arial"/>
                <w:sz w:val="19"/>
                <w:szCs w:val="19"/>
              </w:rPr>
              <w:t xml:space="preserve"> jours ouvrables avant l’administration et confirmer le délai d’obtention souhaité.</w:t>
            </w:r>
          </w:p>
        </w:tc>
      </w:tr>
      <w:tr w:rsidR="00A458CC" w:rsidRPr="00DE57B0" w14:paraId="01125DB8" w14:textId="77777777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01125DB0" w14:textId="77777777" w:rsidR="00A458CC" w:rsidRPr="00304C9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04C94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01125DB1" w14:textId="77777777" w:rsidR="00A458CC" w:rsidRPr="00304C94" w:rsidRDefault="006E6DE3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Rituximab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et présentations disponibles</w:t>
            </w:r>
          </w:p>
          <w:p w14:paraId="01125DB2" w14:textId="77777777" w:rsidR="00041DFE" w:rsidRPr="00304C94" w:rsidRDefault="00041DFE" w:rsidP="00041DF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Prémédication, selon prescription médicale </w:t>
            </w:r>
          </w:p>
          <w:p w14:paraId="01125DB3" w14:textId="77777777"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 xml:space="preserve">1 flex de NaCl 0.9% </w:t>
            </w:r>
            <w:r w:rsidR="00AF4BFD">
              <w:rPr>
                <w:rFonts w:ascii="Arial" w:hAnsi="Arial" w:cs="Arial"/>
                <w:sz w:val="19"/>
                <w:szCs w:val="19"/>
              </w:rPr>
              <w:t>pour la dilution</w:t>
            </w:r>
            <w:r w:rsidR="0054557F">
              <w:rPr>
                <w:rFonts w:ascii="Arial" w:hAnsi="Arial" w:cs="Arial"/>
                <w:sz w:val="19"/>
                <w:szCs w:val="19"/>
              </w:rPr>
              <w:t xml:space="preserve"> (volume permettant de préparer une concentration à 1mg/ml, selon dosage de rituximab prescrit)</w:t>
            </w:r>
          </w:p>
          <w:p w14:paraId="01125DB4" w14:textId="77777777" w:rsidR="00A458CC" w:rsidRPr="00304C94" w:rsidRDefault="00CF518F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NaCl 0.9%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F5A72" w:rsidRPr="00304C94">
              <w:rPr>
                <w:rFonts w:ascii="Arial" w:hAnsi="Arial" w:cs="Arial"/>
                <w:sz w:val="19"/>
                <w:szCs w:val="19"/>
              </w:rPr>
              <w:t>pour le rinçage</w:t>
            </w:r>
          </w:p>
          <w:p w14:paraId="01125DB5" w14:textId="77777777"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01125DB6" w14:textId="77777777"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01125DB7" w14:textId="77777777"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04C94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DE57B0" w14:paraId="01125DBB" w14:textId="77777777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1125DB9" w14:textId="77777777" w:rsidR="00A458CC" w:rsidRPr="005E33C3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3C3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01125DBA" w14:textId="77777777" w:rsidR="00A458CC" w:rsidRPr="005E33C3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3C3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A458CC" w:rsidRPr="00DE57B0" w14:paraId="01125DC4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1125DBC" w14:textId="77777777" w:rsidR="00A458CC" w:rsidRPr="003E344A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E344A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01125DBD" w14:textId="77777777" w:rsidR="00F21EE1" w:rsidRPr="003E344A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 xml:space="preserve">Mesurer la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="005857E8" w:rsidRPr="003E344A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="005857E8" w:rsidRPr="00A9562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="005857E8" w:rsidRPr="003E344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1125DBE" w14:textId="77777777" w:rsidR="000128C9" w:rsidRPr="003E344A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 xml:space="preserve">Vérifier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l’absence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d’état infectieux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(température corporelle, état général du patient,…)</w:t>
            </w:r>
          </w:p>
          <w:p w14:paraId="01125DBF" w14:textId="77777777" w:rsidR="0074285D" w:rsidRPr="003E344A" w:rsidRDefault="0074285D" w:rsidP="0074285D">
            <w:pPr>
              <w:pStyle w:val="Paragraphedeliste"/>
              <w:numPr>
                <w:ilvl w:val="0"/>
                <w:numId w:val="20"/>
              </w:numPr>
              <w:spacing w:before="120" w:after="120" w:line="276" w:lineRule="auto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Il est recommandé que le patient </w:t>
            </w:r>
            <w:r w:rsidRPr="00D84383">
              <w:rPr>
                <w:rFonts w:ascii="Arial" w:hAnsi="Arial" w:cs="Arial"/>
                <w:b/>
                <w:sz w:val="19"/>
                <w:szCs w:val="19"/>
              </w:rPr>
              <w:t>évite de prendre un traitement antihypertenseur dans les 12h précédant l’administration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de rituximab. Si un traitement antihypertenseur a été pris dans cet intervalle, discuter avec le médecin des surveillances à appliquer lors de la perfusion.</w:t>
            </w:r>
          </w:p>
          <w:p w14:paraId="01125DC0" w14:textId="77777777" w:rsidR="00B17323" w:rsidRPr="003E344A" w:rsidRDefault="00B17323" w:rsidP="002E04DA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01125DC1" w14:textId="77777777" w:rsidR="00F21EE1" w:rsidRPr="003E344A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01125DC2" w14:textId="77777777" w:rsidR="00F21EE1" w:rsidRPr="003E344A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3E344A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01125DC3" w14:textId="77777777" w:rsidR="009A43F1" w:rsidRPr="003E344A" w:rsidRDefault="009A43F1" w:rsidP="002E04DA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DE57B0" w14:paraId="01125DD0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1125DC5" w14:textId="77777777" w:rsidR="00A458CC" w:rsidRPr="00332DC1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2DC1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01125DC6" w14:textId="77777777" w:rsidR="00B52F3B" w:rsidRPr="00332DC1" w:rsidRDefault="00B52F3B" w:rsidP="006923C7">
            <w:pPr>
              <w:spacing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noProof/>
                <w:lang w:eastAsia="fr-CH"/>
              </w:rPr>
              <w:drawing>
                <wp:inline distT="0" distB="0" distL="0" distR="0" wp14:anchorId="01125E55" wp14:editId="01125E56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Administrer, selon prescription médicale :</w:t>
            </w:r>
          </w:p>
          <w:p w14:paraId="01125DC7" w14:textId="77777777" w:rsidR="00B52F3B" w:rsidRPr="00332DC1" w:rsidRDefault="00B52F3B" w:rsidP="006923C7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b/>
                <w:sz w:val="19"/>
                <w:szCs w:val="19"/>
                <w:u w:val="single"/>
              </w:rPr>
              <w:t>30 à 60 minutes avant la perfusion de rituximab</w:t>
            </w:r>
            <w:r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 </w:t>
            </w:r>
            <w:r w:rsidRPr="00332DC1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01125DC8" w14:textId="77777777" w:rsidR="00B52F3B" w:rsidRPr="00332DC1" w:rsidRDefault="00B52F3B" w:rsidP="00B52F3B">
            <w:pPr>
              <w:pStyle w:val="Paragraphedeliste"/>
              <w:numPr>
                <w:ilvl w:val="0"/>
                <w:numId w:val="20"/>
              </w:numPr>
              <w:spacing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antihistaminique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(p.ex. 2 mg de clémastine i.v. (Tavegyl</w:t>
            </w:r>
            <w:r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2DC1">
              <w:rPr>
                <w:rFonts w:ascii="Arial" w:hAnsi="Arial" w:cs="Arial"/>
                <w:sz w:val="19"/>
                <w:szCs w:val="19"/>
              </w:rPr>
              <w:t>))</w:t>
            </w:r>
          </w:p>
          <w:p w14:paraId="01125DC9" w14:textId="77777777" w:rsidR="00B52F3B" w:rsidRPr="00332DC1" w:rsidRDefault="00DD1468" w:rsidP="00B52F3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>U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="00B52F3B" w:rsidRPr="00A95625">
              <w:rPr>
                <w:rFonts w:ascii="Arial" w:hAnsi="Arial" w:cs="Arial"/>
                <w:b/>
                <w:sz w:val="19"/>
                <w:szCs w:val="19"/>
              </w:rPr>
              <w:t>antipyrétique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 xml:space="preserve"> (p.ex. paracétamol </w:t>
            </w:r>
            <w:r w:rsidR="00A66D48" w:rsidRPr="00332DC1">
              <w:rPr>
                <w:rFonts w:ascii="Arial" w:hAnsi="Arial" w:cs="Arial"/>
                <w:sz w:val="19"/>
                <w:szCs w:val="19"/>
              </w:rPr>
              <w:t xml:space="preserve">1g 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per os (Dafalgan</w:t>
            </w:r>
            <w:r w:rsidR="00B52F3B"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66D48" w:rsidRPr="00332DC1">
              <w:rPr>
                <w:rFonts w:ascii="Arial" w:hAnsi="Arial" w:cs="Arial"/>
                <w:sz w:val="19"/>
                <w:szCs w:val="19"/>
              </w:rPr>
              <w:t>)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01125DCA" w14:textId="77777777" w:rsidR="00B52F3B" w:rsidRPr="00332DC1" w:rsidRDefault="00B52F3B" w:rsidP="00DF0EB4">
            <w:pPr>
              <w:pStyle w:val="Paragraphedeliste"/>
              <w:numPr>
                <w:ilvl w:val="0"/>
                <w:numId w:val="20"/>
              </w:numPr>
              <w:spacing w:before="120" w:after="8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corticoïde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(p.ex. 125</w:t>
            </w:r>
            <w:r w:rsidR="000B6D93">
              <w:rPr>
                <w:rFonts w:ascii="Arial" w:hAnsi="Arial" w:cs="Arial"/>
                <w:sz w:val="19"/>
                <w:szCs w:val="19"/>
              </w:rPr>
              <w:t xml:space="preserve"> mg de méthylprednisolone i.v. </w:t>
            </w:r>
            <w:r w:rsidRPr="00332DC1">
              <w:rPr>
                <w:rFonts w:ascii="Arial" w:hAnsi="Arial" w:cs="Arial"/>
                <w:sz w:val="19"/>
                <w:szCs w:val="19"/>
              </w:rPr>
              <w:t>(Solu-Medrol</w:t>
            </w:r>
            <w:r w:rsidRPr="00104DA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2DC1">
              <w:rPr>
                <w:rFonts w:ascii="Arial" w:hAnsi="Arial" w:cs="Arial"/>
                <w:sz w:val="19"/>
                <w:szCs w:val="19"/>
              </w:rPr>
              <w:t>) ou équivalent)</w:t>
            </w:r>
            <w:r w:rsidR="00387906" w:rsidRPr="00332DC1">
              <w:rPr>
                <w:rFonts w:ascii="Arial" w:hAnsi="Arial" w:cs="Arial"/>
                <w:sz w:val="19"/>
                <w:szCs w:val="19"/>
              </w:rPr>
              <w:t xml:space="preserve"> si </w:t>
            </w:r>
            <w:r w:rsidR="00AC4890">
              <w:rPr>
                <w:rFonts w:ascii="Arial" w:hAnsi="Arial" w:cs="Arial"/>
                <w:sz w:val="19"/>
                <w:szCs w:val="19"/>
              </w:rPr>
              <w:t>pas déjà</w:t>
            </w:r>
            <w:r w:rsidR="00387906" w:rsidRPr="00332D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20AE" w:rsidRPr="00332DC1">
              <w:rPr>
                <w:rFonts w:ascii="Arial" w:hAnsi="Arial" w:cs="Arial"/>
                <w:sz w:val="19"/>
                <w:szCs w:val="19"/>
              </w:rPr>
              <w:t>prévu comme co-traitement (</w:t>
            </w:r>
            <w:r w:rsidR="003E7D56" w:rsidRPr="00332DC1">
              <w:rPr>
                <w:rFonts w:ascii="Arial" w:hAnsi="Arial" w:cs="Arial"/>
                <w:sz w:val="19"/>
                <w:szCs w:val="19"/>
              </w:rPr>
              <w:t>inclus dans le schéma de</w:t>
            </w:r>
            <w:r w:rsidR="00AA20AE" w:rsidRPr="00332DC1">
              <w:rPr>
                <w:rFonts w:ascii="Arial" w:hAnsi="Arial" w:cs="Arial"/>
                <w:sz w:val="19"/>
                <w:szCs w:val="19"/>
              </w:rPr>
              <w:t xml:space="preserve"> chimiothérapie ou prescrit comme traitement de la vascularite).</w:t>
            </w:r>
          </w:p>
          <w:p w14:paraId="01125DCB" w14:textId="77777777" w:rsidR="007E0DEE" w:rsidRPr="00332DC1" w:rsidRDefault="007E0DEE" w:rsidP="006923C7">
            <w:pPr>
              <w:spacing w:after="6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332DC1">
              <w:rPr>
                <w:rFonts w:ascii="Arial" w:hAnsi="Arial" w:cs="Arial"/>
                <w:sz w:val="19"/>
                <w:szCs w:val="19"/>
                <w:u w:val="single"/>
              </w:rPr>
              <w:t>Si traitement de leucémie lymphoïde chronique</w:t>
            </w:r>
            <w:r w:rsidR="00A95625">
              <w:rPr>
                <w:rFonts w:ascii="Arial" w:hAnsi="Arial" w:cs="Arial"/>
                <w:sz w:val="19"/>
                <w:szCs w:val="19"/>
                <w:u w:val="single"/>
              </w:rPr>
              <w:t xml:space="preserve"> (LLC)</w:t>
            </w:r>
            <w:r w:rsidRPr="00332DC1">
              <w:rPr>
                <w:rFonts w:ascii="Arial" w:hAnsi="Arial" w:cs="Arial"/>
                <w:sz w:val="19"/>
                <w:szCs w:val="19"/>
                <w:u w:val="single"/>
              </w:rPr>
              <w:t> :</w:t>
            </w:r>
          </w:p>
          <w:p w14:paraId="01125DCC" w14:textId="77777777" w:rsidR="007E0DEE" w:rsidRPr="00332DC1" w:rsidRDefault="007E0DEE" w:rsidP="007E0DEE">
            <w:pPr>
              <w:pStyle w:val="Paragraphedeliste"/>
              <w:numPr>
                <w:ilvl w:val="0"/>
                <w:numId w:val="20"/>
              </w:numPr>
              <w:spacing w:after="120"/>
              <w:ind w:left="411" w:hanging="284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Assurer 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apport liquidien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suffisant avant l’administration</w:t>
            </w:r>
          </w:p>
          <w:p w14:paraId="01125DCD" w14:textId="77777777" w:rsidR="007E0DEE" w:rsidRPr="00332DC1" w:rsidRDefault="007E0DEE" w:rsidP="007E0DEE">
            <w:pPr>
              <w:pStyle w:val="Paragraphedeliste"/>
              <w:numPr>
                <w:ilvl w:val="0"/>
                <w:numId w:val="20"/>
              </w:numPr>
              <w:spacing w:after="120"/>
              <w:ind w:left="411" w:hanging="284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S’assurer que le patient a reçu un </w:t>
            </w:r>
            <w:r w:rsidR="00332DC1" w:rsidRPr="00332DC1">
              <w:rPr>
                <w:rFonts w:ascii="Arial" w:hAnsi="Arial" w:cs="Arial"/>
                <w:sz w:val="19"/>
                <w:szCs w:val="19"/>
              </w:rPr>
              <w:t xml:space="preserve">traitement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urostatique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48h avant l’administration du rituximab pour prévenir le syndrome de lyse tumorale.</w:t>
            </w:r>
          </w:p>
          <w:p w14:paraId="01125DCE" w14:textId="77777777" w:rsidR="0074285D" w:rsidRDefault="00B52F3B" w:rsidP="0011423F">
            <w:pPr>
              <w:spacing w:before="60" w:after="4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>Rincer le cathéter entre chaque traitement et après la prémédication.</w:t>
            </w:r>
          </w:p>
          <w:p w14:paraId="01125DCF" w14:textId="77777777" w:rsidR="00104DA8" w:rsidRPr="00332DC1" w:rsidRDefault="00104DA8" w:rsidP="0011423F">
            <w:pPr>
              <w:spacing w:before="60" w:after="4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58CC" w:rsidRPr="00DE57B0" w14:paraId="01125DE3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1125DD1" w14:textId="77777777" w:rsidR="00A458CC" w:rsidRPr="00A95625" w:rsidRDefault="00A458CC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A95625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Préparation de la perfusion </w:t>
            </w:r>
            <w:r w:rsidR="00066BDC" w:rsidRPr="00A95625">
              <w:rPr>
                <w:rFonts w:ascii="Arial" w:hAnsi="Arial" w:cs="Arial"/>
                <w:b/>
                <w:sz w:val="19"/>
                <w:szCs w:val="19"/>
              </w:rPr>
              <w:t>de rituximab</w:t>
            </w:r>
          </w:p>
          <w:p w14:paraId="01125DD2" w14:textId="77777777" w:rsidR="00002FE2" w:rsidRPr="00A95625" w:rsidRDefault="00104DA8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4F57F4">
              <w:rPr>
                <w:rFonts w:ascii="Arial" w:hAnsi="Arial" w:cs="Arial"/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45720" distB="45720" distL="114300" distR="114300" simplePos="0" relativeHeight="251584512" behindDoc="0" locked="0" layoutInCell="1" allowOverlap="1" wp14:anchorId="01125E57" wp14:editId="01125E58">
                      <wp:simplePos x="0" y="0"/>
                      <wp:positionH relativeFrom="column">
                        <wp:posOffset>-1267198</wp:posOffset>
                      </wp:positionH>
                      <wp:positionV relativeFrom="paragraph">
                        <wp:posOffset>209538</wp:posOffset>
                      </wp:positionV>
                      <wp:extent cx="1711325" cy="297180"/>
                      <wp:effectExtent l="2223" t="0" r="24447" b="24448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13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25E6D" w14:textId="77777777" w:rsidR="004F57F4" w:rsidRDefault="004F57F4" w:rsidP="004F57F4">
                                  <w:r>
                                    <w:t xml:space="preserve">Protocole Rituximab </w:t>
                                  </w:r>
                                  <w:r w:rsidRPr="00E92E44">
                                    <w:rPr>
                                      <w:b/>
                                    </w:rPr>
                                    <w:t>onco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5E57" id="_x0000_s1028" type="#_x0000_t202" style="position:absolute;margin-left:-99.8pt;margin-top:16.5pt;width:134.75pt;height:23.4pt;rotation:-90;z-index: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">
                      <v:textbox>
                        <w:txbxContent>
                          <w:p w14:paraId="01125E6D" w14:textId="77777777" w:rsidR="004F57F4" w:rsidRDefault="004F57F4" w:rsidP="004F57F4">
                            <w:r>
                              <w:t xml:space="preserve">Protocole Rituximab </w:t>
                            </w:r>
                            <w:r w:rsidRPr="00E92E44">
                              <w:rPr>
                                <w:b/>
                              </w:rPr>
                              <w:t>onco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125DD3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4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5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6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7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8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9" w14:textId="77777777" w:rsidR="006923C7" w:rsidRDefault="006923C7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DA" w14:textId="77777777"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01125DDB" w14:textId="77777777" w:rsidR="00A458CC" w:rsidRPr="006A4C61" w:rsidRDefault="00A458CC" w:rsidP="006A4C61">
            <w:pPr>
              <w:pStyle w:val="Paragraphedeliste"/>
              <w:numPr>
                <w:ilvl w:val="0"/>
                <w:numId w:val="13"/>
              </w:numPr>
              <w:spacing w:after="60"/>
              <w:ind w:left="552" w:hanging="42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noProof/>
                <w:lang w:eastAsia="fr-CH"/>
              </w:rPr>
              <w:drawing>
                <wp:inline distT="0" distB="0" distL="0" distR="0" wp14:anchorId="01125E59" wp14:editId="01125E5A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Sortir le(s) flacon(s) </w:t>
            </w:r>
            <w:r w:rsidR="00E13242" w:rsidRPr="006A4C61">
              <w:rPr>
                <w:rFonts w:ascii="Arial" w:hAnsi="Arial" w:cs="Arial"/>
                <w:sz w:val="19"/>
                <w:szCs w:val="19"/>
              </w:rPr>
              <w:t>de rituximab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du frigo suffisamment tôt avant la préparation pour qu’il(s) ai(en)t atteint la température ambiante à ce moment-là.</w:t>
            </w:r>
          </w:p>
          <w:p w14:paraId="01125DDC" w14:textId="77777777" w:rsidR="00046B3B" w:rsidRPr="00046B3B" w:rsidRDefault="00A458CC" w:rsidP="00046B3B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du (des) flacon(s) </w:t>
            </w:r>
            <w:r w:rsidR="00066BDC" w:rsidRPr="00A95625">
              <w:rPr>
                <w:rFonts w:ascii="Arial" w:hAnsi="Arial" w:cs="Arial"/>
                <w:sz w:val="19"/>
                <w:szCs w:val="19"/>
              </w:rPr>
              <w:t>de rituximab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01125DDD" w14:textId="77777777" w:rsidR="007E6D4C" w:rsidRPr="00A95625" w:rsidRDefault="00041DFE" w:rsidP="007E6D4C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33066">
              <w:rPr>
                <w:rFonts w:ascii="Arial" w:hAnsi="Arial" w:cs="Arial"/>
                <w:sz w:val="19"/>
                <w:szCs w:val="19"/>
              </w:rPr>
              <w:t>Préparer, selon la procédure ci-après, une poche de rituximab d’une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46B3B">
              <w:rPr>
                <w:rFonts w:ascii="Arial" w:hAnsi="Arial" w:cs="Arial"/>
                <w:b/>
                <w:sz w:val="19"/>
                <w:szCs w:val="19"/>
              </w:rPr>
              <w:t xml:space="preserve">concentration </w:t>
            </w:r>
            <w:r w:rsidR="000B6D93" w:rsidRPr="00046B3B">
              <w:rPr>
                <w:rFonts w:ascii="Arial" w:hAnsi="Arial" w:cs="Arial"/>
                <w:b/>
                <w:sz w:val="19"/>
                <w:szCs w:val="19"/>
              </w:rPr>
              <w:t xml:space="preserve">de 1 </w:t>
            </w:r>
            <w:r w:rsidR="007E6D4C" w:rsidRPr="00046B3B">
              <w:rPr>
                <w:rFonts w:ascii="Arial" w:hAnsi="Arial" w:cs="Arial"/>
                <w:b/>
                <w:sz w:val="19"/>
                <w:szCs w:val="19"/>
              </w:rPr>
              <w:t>mg/ml</w:t>
            </w:r>
            <w:r w:rsidRPr="00046B3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1125DDE" w14:textId="77777777" w:rsidR="00A458CC" w:rsidRPr="00A95625" w:rsidRDefault="006871FA" w:rsidP="003B0A78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1119" w:hanging="283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Retirer d’un flex</w:t>
            </w:r>
            <w:r w:rsidR="0057564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458CC" w:rsidRPr="00A95625">
              <w:rPr>
                <w:rFonts w:ascii="Arial" w:hAnsi="Arial" w:cs="Arial"/>
                <w:sz w:val="19"/>
                <w:szCs w:val="19"/>
              </w:rPr>
              <w:t>de NaCl 0.9% le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 xml:space="preserve"> volume </w:t>
            </w:r>
            <w:r w:rsidR="001F54F2">
              <w:rPr>
                <w:rFonts w:ascii="Arial" w:hAnsi="Arial" w:cs="Arial"/>
                <w:sz w:val="19"/>
                <w:szCs w:val="19"/>
              </w:rPr>
              <w:t>nécessaire,</w:t>
            </w:r>
            <w:r w:rsidR="00096705">
              <w:rPr>
                <w:rFonts w:ascii="Arial" w:hAnsi="Arial" w:cs="Arial"/>
                <w:sz w:val="19"/>
                <w:szCs w:val="19"/>
              </w:rPr>
              <w:t xml:space="preserve"> selon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 xml:space="preserve"> la dose de rituximab</w:t>
            </w:r>
            <w:r w:rsidR="00A458CC" w:rsidRPr="00A95625">
              <w:rPr>
                <w:rFonts w:ascii="Arial" w:hAnsi="Arial" w:cs="Arial"/>
                <w:sz w:val="19"/>
                <w:szCs w:val="19"/>
              </w:rPr>
              <w:t xml:space="preserve"> prescrite</w:t>
            </w:r>
            <w:r w:rsidR="00EA34C9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1125DDF" w14:textId="77777777" w:rsidR="00A458CC" w:rsidRPr="00A95625" w:rsidRDefault="00A458CC" w:rsidP="003B0A78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111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Prélever le volume requis 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>de rituximab  et l’a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jouter </w:t>
            </w:r>
            <w:r w:rsidRPr="00A95625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dans la poche de NaCl 0.9% (éviter de faire mousser le produit !)</w:t>
            </w:r>
          </w:p>
          <w:p w14:paraId="01125DE0" w14:textId="77777777" w:rsidR="00A458CC" w:rsidRPr="00A95625" w:rsidRDefault="00A458CC" w:rsidP="003B0A78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111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A95625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01125DE1" w14:textId="77777777" w:rsidR="00B8246D" w:rsidRDefault="00A458CC" w:rsidP="003B0A78">
            <w:pPr>
              <w:pStyle w:val="Paragraphedeliste"/>
              <w:numPr>
                <w:ilvl w:val="1"/>
                <w:numId w:val="13"/>
              </w:numPr>
              <w:spacing w:before="60"/>
              <w:ind w:left="111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>Vérifier l’absence de particules visibles ou d’une coloration importante (une légère coloration jaune ou opalescente peut persister).</w:t>
            </w:r>
          </w:p>
          <w:p w14:paraId="01125DE2" w14:textId="77777777" w:rsidR="00893B73" w:rsidRPr="00A95625" w:rsidRDefault="00893B73" w:rsidP="00893B73">
            <w:pPr>
              <w:pStyle w:val="Paragraphedeliste"/>
              <w:spacing w:before="60"/>
              <w:ind w:left="1119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58CC" w:rsidRPr="00DE57B0" w14:paraId="01125DE6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125DE4" w14:textId="77777777" w:rsidR="00A458CC" w:rsidRPr="00DA6596" w:rsidRDefault="00A458CC" w:rsidP="00066D2D">
            <w:pPr>
              <w:spacing w:before="120" w:after="8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6596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01125DE5" w14:textId="77777777" w:rsidR="00893B73" w:rsidRPr="00DA6596" w:rsidRDefault="00A458CC" w:rsidP="00066D2D">
            <w:pPr>
              <w:spacing w:before="120" w:after="80"/>
              <w:ind w:left="26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6596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DE57B0" w14:paraId="01125DEF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125DE7" w14:textId="77777777" w:rsidR="00A458CC" w:rsidRPr="00DE57B0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CB0645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01125DE8" w14:textId="77777777" w:rsidR="00CB0645" w:rsidRDefault="00CB0645" w:rsidP="008139E9">
            <w:pPr>
              <w:pStyle w:val="Paragraphedeliste"/>
              <w:numPr>
                <w:ilvl w:val="0"/>
                <w:numId w:val="25"/>
              </w:numPr>
              <w:spacing w:before="4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C61">
              <w:rPr>
                <w:rFonts w:ascii="Arial" w:hAnsi="Arial" w:cs="Arial"/>
                <w:sz w:val="19"/>
                <w:szCs w:val="19"/>
              </w:rPr>
              <w:t>Rester à proximité du patient durant les 20 premières minutes.</w:t>
            </w:r>
          </w:p>
          <w:p w14:paraId="01125DE9" w14:textId="77777777" w:rsidR="006A4C61" w:rsidRPr="006A4C61" w:rsidRDefault="00A458CC" w:rsidP="008139E9">
            <w:pPr>
              <w:pStyle w:val="Paragraphedeliste"/>
              <w:numPr>
                <w:ilvl w:val="0"/>
                <w:numId w:val="25"/>
              </w:numPr>
              <w:spacing w:before="4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C61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toutes les 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>15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minutes durant 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>la première heure, toutes les 30 minutes durant la 2</w:t>
            </w:r>
            <w:r w:rsidR="00CB0645" w:rsidRPr="006A4C61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 xml:space="preserve"> heure puis toutes les 60 minutes jusqu’à la fin de la perfusion.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1125DEA" w14:textId="77777777" w:rsidR="00A458CC" w:rsidRPr="006A4C61" w:rsidRDefault="00A458CC" w:rsidP="008139E9">
            <w:pPr>
              <w:pStyle w:val="Paragraphedeliste"/>
              <w:numPr>
                <w:ilvl w:val="0"/>
                <w:numId w:val="25"/>
              </w:numPr>
              <w:spacing w:before="4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C61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01125DEB" w14:textId="77777777" w:rsidR="00CB0645" w:rsidRPr="00C37590" w:rsidRDefault="00A458CC" w:rsidP="008139E9">
            <w:pPr>
              <w:pStyle w:val="Paragraphedeliste"/>
              <w:spacing w:before="60" w:after="80"/>
              <w:ind w:left="411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0C23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</w:t>
            </w:r>
            <w:r w:rsidR="00CB0645" w:rsidRPr="00040C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>une sensation de chaleur, fièvre, sueurs,</w:t>
            </w:r>
            <w:r w:rsidR="00B8687A">
              <w:rPr>
                <w:rFonts w:ascii="Arial" w:hAnsi="Arial" w:cs="Arial"/>
                <w:sz w:val="19"/>
                <w:szCs w:val="19"/>
              </w:rPr>
              <w:t xml:space="preserve"> frissons,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 xml:space="preserve"> rougeur du visage, détresse respiratoire, angio-oed</w:t>
            </w:r>
            <w:r w:rsidR="00573CF2">
              <w:rPr>
                <w:rFonts w:ascii="Arial" w:hAnsi="Arial" w:cs="Arial"/>
                <w:sz w:val="19"/>
                <w:szCs w:val="19"/>
              </w:rPr>
              <w:t>è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>me, irritation pharyngée, toux et bronchospasme, hypo- ou hypertension, sensation de pression/serrement dans la poitrine, réactions cutanées, nausées, diarrhées, céphalées, éternuements, très rarement : choc anaphylactique avec défaillance circulatoire.</w:t>
            </w:r>
            <w:r w:rsidRPr="00040C2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1125DEC" w14:textId="77777777" w:rsidR="00B154A5" w:rsidRPr="00C37590" w:rsidRDefault="00A458CC" w:rsidP="008139E9">
            <w:pPr>
              <w:pStyle w:val="Paragraphedeliste"/>
              <w:spacing w:before="80" w:after="80"/>
              <w:ind w:left="411"/>
              <w:contextualSpacing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5F0A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14:paraId="01125DED" w14:textId="77777777" w:rsidR="00C850D3" w:rsidRDefault="00C850D3" w:rsidP="008139E9">
            <w:pPr>
              <w:pStyle w:val="Paragraphedeliste"/>
              <w:spacing w:after="80"/>
              <w:ind w:left="411"/>
              <w:contextualSpacing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50D3">
              <w:rPr>
                <w:rFonts w:ascii="Arial" w:hAnsi="Arial" w:cs="Arial"/>
                <w:sz w:val="19"/>
                <w:szCs w:val="19"/>
              </w:rPr>
              <w:t>Après régression complète des symptômes et si la balance bénéfice/risque du traitement est jugée favorable</w:t>
            </w:r>
            <w:r w:rsidR="00D11E07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850D3">
              <w:rPr>
                <w:rFonts w:ascii="Arial" w:hAnsi="Arial" w:cs="Arial"/>
                <w:sz w:val="19"/>
                <w:szCs w:val="19"/>
              </w:rPr>
              <w:t>la perfusion peut être reprise avec un débit réduit de moiti</w:t>
            </w:r>
            <w:r w:rsidRPr="00554037">
              <w:rPr>
                <w:rFonts w:ascii="Arial" w:hAnsi="Arial" w:cs="Arial"/>
                <w:sz w:val="19"/>
                <w:szCs w:val="19"/>
              </w:rPr>
              <w:t>é</w:t>
            </w:r>
            <w:r w:rsidR="00D11E07">
              <w:rPr>
                <w:rFonts w:ascii="Arial" w:hAnsi="Arial" w:cs="Arial"/>
                <w:sz w:val="19"/>
                <w:szCs w:val="19"/>
              </w:rPr>
              <w:t xml:space="preserve"> (selon avis médical).</w:t>
            </w:r>
          </w:p>
          <w:p w14:paraId="01125DEE" w14:textId="77777777" w:rsidR="00C46E03" w:rsidRPr="00554037" w:rsidRDefault="00C46E03" w:rsidP="008139E9">
            <w:pPr>
              <w:ind w:left="411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554037">
              <w:rPr>
                <w:rFonts w:ascii="Arial" w:hAnsi="Arial" w:cs="Arial"/>
                <w:sz w:val="19"/>
                <w:szCs w:val="19"/>
              </w:rPr>
              <w:t xml:space="preserve">Surveiller très étroitement les patients à </w:t>
            </w:r>
            <w:r w:rsidRPr="00A667AC">
              <w:rPr>
                <w:rFonts w:ascii="Arial" w:hAnsi="Arial" w:cs="Arial"/>
                <w:b/>
                <w:sz w:val="19"/>
                <w:szCs w:val="19"/>
              </w:rPr>
              <w:t>risque de lyse tumorale</w:t>
            </w:r>
            <w:r w:rsidRPr="00554037">
              <w:rPr>
                <w:rFonts w:ascii="Arial" w:hAnsi="Arial" w:cs="Arial"/>
                <w:sz w:val="19"/>
                <w:szCs w:val="19"/>
              </w:rPr>
              <w:t xml:space="preserve"> (taux élevé de cellules malignes dans la circulation [&gt;25'000/mm3] ou une charge tumorale importante (lésions &gt;10 cm)).</w:t>
            </w:r>
          </w:p>
        </w:tc>
      </w:tr>
      <w:tr w:rsidR="00A458CC" w:rsidRPr="00DE57B0" w14:paraId="01125E3A" w14:textId="77777777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125DF0" w14:textId="77777777" w:rsidR="00A458CC" w:rsidRPr="00E81C42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01125DF1" w14:textId="77777777" w:rsidR="005F28A8" w:rsidRPr="00E81C42" w:rsidRDefault="005F28A8" w:rsidP="005F28A8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81C4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01125DF2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01125DF3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4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5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6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7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8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9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A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B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C" w14:textId="77777777"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D" w14:textId="77777777" w:rsidR="00E55FF9" w:rsidRDefault="00E55FF9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1125DFE" w14:textId="77777777"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DFF" w14:textId="77777777"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E00" w14:textId="77777777"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E01" w14:textId="77777777"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E02" w14:textId="77777777"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E03" w14:textId="77777777" w:rsidR="00620AEC" w:rsidRPr="00E81C42" w:rsidRDefault="00620AEC" w:rsidP="00620AEC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20AEC">
              <w:rPr>
                <w:rFonts w:ascii="Arial" w:hAnsi="Arial" w:cs="Arial"/>
                <w:sz w:val="19"/>
                <w:szCs w:val="19"/>
              </w:rPr>
              <w:t>(suite)</w:t>
            </w:r>
          </w:p>
          <w:p w14:paraId="01125E04" w14:textId="77777777"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1125E05" w14:textId="77777777" w:rsidR="00EA34C9" w:rsidRPr="00EA34C9" w:rsidRDefault="00EA34C9" w:rsidP="00EA34C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01125E06" w14:textId="77777777" w:rsidR="006A4C61" w:rsidRPr="002859C0" w:rsidRDefault="006A4C61" w:rsidP="00620AEC">
            <w:pPr>
              <w:spacing w:before="60" w:after="120"/>
              <w:jc w:val="both"/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</w:pPr>
            <w:r w:rsidRPr="00807599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Pour les patients à risque de lyse tumorale </w:t>
            </w:r>
            <w:r w:rsidRPr="006923C7">
              <w:rPr>
                <w:rFonts w:ascii="Arial" w:hAnsi="Arial" w:cs="Arial"/>
                <w:sz w:val="19"/>
                <w:szCs w:val="19"/>
              </w:rPr>
              <w:t>(</w:t>
            </w:r>
            <w:r w:rsidRPr="006923C7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Pr="00807599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>aux élevé de cellules malignes dans la circulation [&gt;25'000/mm</w:t>
            </w:r>
            <w:r w:rsidRPr="00807599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  <w:r w:rsidRPr="00807599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 xml:space="preserve">] ou charge tumorale importante (lésions &gt;10 cm)), administrer le rituximab avec une </w:t>
            </w:r>
            <w:r w:rsidRPr="006A4C61">
              <w:rPr>
                <w:rStyle w:val="s10"/>
                <w:rFonts w:ascii="Arial" w:hAnsi="Arial" w:cs="Arial"/>
                <w:b/>
                <w:color w:val="000000"/>
                <w:sz w:val="19"/>
                <w:szCs w:val="19"/>
              </w:rPr>
              <w:t>vitesse de perfusion diminuée ou répartir la dose sur 2 jours</w:t>
            </w:r>
            <w:r w:rsidRPr="00807599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 xml:space="preserve"> pour le premier cycle, ainsi que les suivants si le taux de si le nombre de lymphocytes se maintient à &gt;25'000/mm</w:t>
            </w:r>
            <w:r w:rsidRPr="00807599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  <w:r w:rsidRPr="0080759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01125E07" w14:textId="77777777" w:rsidR="00B86F60" w:rsidRDefault="00566DA8" w:rsidP="002F1148">
            <w:pPr>
              <w:pStyle w:val="s8"/>
              <w:spacing w:before="60" w:beforeAutospacing="0" w:after="4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  <w:t>Première perfusion</w:t>
            </w: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</w:rPr>
              <w:t> :</w:t>
            </w:r>
          </w:p>
          <w:p w14:paraId="01125E08" w14:textId="77777777" w:rsidR="00066D2D" w:rsidRDefault="00066D2D" w:rsidP="002F1148">
            <w:pPr>
              <w:pStyle w:val="s8"/>
              <w:spacing w:before="60" w:beforeAutospacing="0" w:after="4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2102"/>
            </w:tblGrid>
            <w:tr w:rsidR="00017674" w14:paraId="01125E0B" w14:textId="77777777" w:rsidTr="00C912AF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01125E09" w14:textId="77777777"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14:paraId="01125E0A" w14:textId="77777777"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</w:tr>
            <w:tr w:rsidR="00017674" w14:paraId="01125E0E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0C" w14:textId="77777777" w:rsidR="00017674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0-6</w:t>
                  </w:r>
                  <w:r w:rsidR="00017674"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 min</w:t>
                  </w:r>
                  <w:r w:rsidR="00017674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utes</w:t>
                  </w:r>
                </w:p>
              </w:tc>
              <w:tc>
                <w:tcPr>
                  <w:tcW w:w="0" w:type="auto"/>
                </w:tcPr>
                <w:p w14:paraId="01125E0D" w14:textId="77777777" w:rsidR="00017674" w:rsidRPr="008B73E1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50mg/h</w:t>
                  </w:r>
                </w:p>
              </w:tc>
            </w:tr>
            <w:tr w:rsidR="00311CC6" w14:paraId="01125E11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0F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01125E10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100mg/h</w:t>
                  </w:r>
                </w:p>
              </w:tc>
            </w:tr>
            <w:tr w:rsidR="00311CC6" w14:paraId="01125E14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12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14:paraId="01125E13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 mg/h</w:t>
                  </w:r>
                </w:p>
              </w:tc>
            </w:tr>
            <w:tr w:rsidR="00311CC6" w14:paraId="01125E17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15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120-150 minutes</w:t>
                  </w:r>
                </w:p>
              </w:tc>
              <w:tc>
                <w:tcPr>
                  <w:tcW w:w="0" w:type="auto"/>
                </w:tcPr>
                <w:p w14:paraId="01125E16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200 mg/h</w:t>
                  </w:r>
                </w:p>
              </w:tc>
            </w:tr>
            <w:tr w:rsidR="00311CC6" w14:paraId="01125E1A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18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150-180 minutes</w:t>
                  </w:r>
                </w:p>
              </w:tc>
              <w:tc>
                <w:tcPr>
                  <w:tcW w:w="0" w:type="auto"/>
                </w:tcPr>
                <w:p w14:paraId="01125E19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250 mg/h</w:t>
                  </w:r>
                </w:p>
              </w:tc>
            </w:tr>
            <w:tr w:rsidR="00311CC6" w14:paraId="01125E1D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1B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180-210 minutes</w:t>
                  </w:r>
                </w:p>
              </w:tc>
              <w:tc>
                <w:tcPr>
                  <w:tcW w:w="0" w:type="auto"/>
                </w:tcPr>
                <w:p w14:paraId="01125E1C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300 mg/h</w:t>
                  </w:r>
                </w:p>
              </w:tc>
            </w:tr>
            <w:tr w:rsidR="00311CC6" w14:paraId="01125E20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1E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210-240 minutes</w:t>
                  </w:r>
                </w:p>
              </w:tc>
              <w:tc>
                <w:tcPr>
                  <w:tcW w:w="0" w:type="auto"/>
                </w:tcPr>
                <w:p w14:paraId="01125E1F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350 mg/h</w:t>
                  </w:r>
                </w:p>
              </w:tc>
            </w:tr>
            <w:tr w:rsidR="00311CC6" w14:paraId="01125E23" w14:textId="77777777" w:rsidTr="002156C8">
              <w:trPr>
                <w:jc w:val="center"/>
              </w:trPr>
              <w:tc>
                <w:tcPr>
                  <w:tcW w:w="0" w:type="auto"/>
                </w:tcPr>
                <w:p w14:paraId="01125E21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240 minutes</w:t>
                  </w:r>
                </w:p>
              </w:tc>
              <w:tc>
                <w:tcPr>
                  <w:tcW w:w="0" w:type="auto"/>
                </w:tcPr>
                <w:p w14:paraId="01125E22" w14:textId="77777777"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400 mg/h </w:t>
                  </w:r>
                  <w:r w:rsidR="002F1148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= débit max</w:t>
                  </w:r>
                </w:p>
              </w:tc>
            </w:tr>
          </w:tbl>
          <w:p w14:paraId="01125E24" w14:textId="77777777" w:rsidR="00620AEC" w:rsidRDefault="00620AEC" w:rsidP="002F1148">
            <w:pPr>
              <w:pStyle w:val="s8"/>
              <w:spacing w:before="80" w:beforeAutospacing="0" w:after="6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14:paraId="01125E25" w14:textId="77777777" w:rsidR="00686642" w:rsidRDefault="00566DA8" w:rsidP="002F1148">
            <w:pPr>
              <w:pStyle w:val="s8"/>
              <w:spacing w:before="80" w:beforeAutospacing="0" w:after="6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  <w:lastRenderedPageBreak/>
              <w:t>Perfusions ultérieures</w:t>
            </w: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</w:rPr>
              <w:t> :</w:t>
            </w:r>
          </w:p>
          <w:p w14:paraId="01125E26" w14:textId="77777777" w:rsidR="005B388C" w:rsidRPr="005B388C" w:rsidRDefault="005B388C" w:rsidP="005B388C">
            <w:pPr>
              <w:spacing w:before="80" w:after="120"/>
              <w:jc w:val="both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5B388C">
              <w:rPr>
                <w:rFonts w:ascii="Arial" w:hAnsi="Arial" w:cs="Arial"/>
                <w:sz w:val="19"/>
                <w:szCs w:val="19"/>
              </w:rPr>
              <w:t>Si le cycle de perfusion remonte à &gt;1 année ou que le patient a présenté une réaction liée à la perfusion lors d’une administration précédente, le schéma d’administration sera le même que pour une première perfusion.</w:t>
            </w:r>
          </w:p>
          <w:p w14:paraId="01125E27" w14:textId="77777777" w:rsidR="002F1148" w:rsidRPr="002F1148" w:rsidRDefault="002F1148" w:rsidP="008F692B">
            <w:pPr>
              <w:pStyle w:val="s8"/>
              <w:spacing w:before="0" w:beforeAutospacing="0" w:after="120" w:line="240" w:lineRule="auto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2F1148"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  <w:t>Si le patient a bien toléré le traitement</w:t>
            </w:r>
            <w:r>
              <w:rPr>
                <w:rStyle w:val="s10"/>
                <w:rFonts w:ascii="Arial" w:hAnsi="Arial" w:cs="Arial"/>
                <w:sz w:val="19"/>
                <w:szCs w:val="19"/>
              </w:rPr>
              <w:t> : le schéma ci-dessous peut être appliqué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996"/>
            </w:tblGrid>
            <w:tr w:rsidR="00017674" w14:paraId="01125E2A" w14:textId="77777777" w:rsidTr="00C912AF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01125E28" w14:textId="77777777"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14:paraId="01125E29" w14:textId="77777777"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</w:tr>
            <w:tr w:rsidR="00017674" w14:paraId="01125E2D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2B" w14:textId="77777777"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01125E2C" w14:textId="77777777"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 mg/h</w:t>
                  </w:r>
                </w:p>
              </w:tc>
            </w:tr>
            <w:tr w:rsidR="00017674" w14:paraId="01125E30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2E" w14:textId="77777777"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01125E2F" w14:textId="77777777"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200mg/h</w:t>
                  </w:r>
                </w:p>
              </w:tc>
            </w:tr>
            <w:tr w:rsidR="00017674" w14:paraId="01125E33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31" w14:textId="77777777"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01125E32" w14:textId="77777777"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300 mg/h</w:t>
                  </w:r>
                </w:p>
              </w:tc>
            </w:tr>
            <w:tr w:rsidR="00017674" w14:paraId="01125E36" w14:textId="77777777" w:rsidTr="00C912AF">
              <w:trPr>
                <w:jc w:val="center"/>
              </w:trPr>
              <w:tc>
                <w:tcPr>
                  <w:tcW w:w="0" w:type="auto"/>
                </w:tcPr>
                <w:p w14:paraId="01125E34" w14:textId="77777777" w:rsidR="00017674" w:rsidRPr="001F79FB" w:rsidRDefault="00A27E4A" w:rsidP="002F1148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90</w:t>
                  </w:r>
                  <w:r w:rsidR="00017674"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minutes</w:t>
                  </w:r>
                </w:p>
              </w:tc>
              <w:tc>
                <w:tcPr>
                  <w:tcW w:w="0" w:type="auto"/>
                </w:tcPr>
                <w:p w14:paraId="01125E35" w14:textId="77777777" w:rsidR="00844E76" w:rsidRPr="001F79FB" w:rsidRDefault="00017674" w:rsidP="002F1148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400mg/h</w:t>
                  </w:r>
                  <w:r w:rsidR="002F1148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844E76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= débit max</w:t>
                  </w:r>
                </w:p>
              </w:tc>
            </w:tr>
          </w:tbl>
          <w:p w14:paraId="01125E37" w14:textId="77777777" w:rsidR="00DA6596" w:rsidRDefault="00A458CC" w:rsidP="002F1148">
            <w:pPr>
              <w:spacing w:before="8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3242">
              <w:rPr>
                <w:rFonts w:ascii="Arial" w:hAnsi="Arial" w:cs="Arial"/>
                <w:b/>
                <w:sz w:val="19"/>
                <w:szCs w:val="19"/>
              </w:rPr>
              <w:t xml:space="preserve">!! Ne pas mélanger une perfusion </w:t>
            </w:r>
            <w:r w:rsidR="00A7468D" w:rsidRPr="00E13242">
              <w:rPr>
                <w:rFonts w:ascii="Arial" w:hAnsi="Arial" w:cs="Arial"/>
                <w:b/>
                <w:sz w:val="19"/>
                <w:szCs w:val="19"/>
              </w:rPr>
              <w:t>de rituximab</w:t>
            </w:r>
            <w:r w:rsidRPr="00E13242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  <w:p w14:paraId="01125E38" w14:textId="77777777" w:rsidR="00EA34C9" w:rsidRDefault="00B104F2" w:rsidP="00332CE4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104F2">
              <w:rPr>
                <w:rFonts w:ascii="Arial" w:hAnsi="Arial" w:cs="Arial"/>
                <w:sz w:val="19"/>
                <w:szCs w:val="19"/>
              </w:rPr>
              <w:t>Après la fin de l’administration, rincer la tubulure à l’aide d’un flex de  NaCl 0.9%.</w:t>
            </w:r>
          </w:p>
          <w:p w14:paraId="01125E39" w14:textId="77777777" w:rsidR="0035545E" w:rsidRPr="008F692B" w:rsidRDefault="0035545E" w:rsidP="00332CE4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58CC" w:rsidRPr="00DE57B0" w14:paraId="01125E3F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125E3B" w14:textId="77777777" w:rsidR="00A458CC" w:rsidRPr="00934AF7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lastRenderedPageBreak/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01125E3C" w14:textId="77777777" w:rsidR="000C6DD5" w:rsidRPr="00934AF7" w:rsidRDefault="000C6DD5" w:rsidP="00573CF2">
            <w:pPr>
              <w:pStyle w:val="Paragraphedeliste"/>
              <w:numPr>
                <w:ilvl w:val="0"/>
                <w:numId w:val="18"/>
              </w:numPr>
              <w:spacing w:before="12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sz w:val="19"/>
                <w:szCs w:val="19"/>
              </w:rPr>
              <w:t>Surveiller le patient durant minimum 1h après la fin de la perfusion de rituximab, en c</w:t>
            </w:r>
            <w:r w:rsidR="00471FC0">
              <w:rPr>
                <w:rFonts w:ascii="Arial" w:hAnsi="Arial" w:cs="Arial"/>
                <w:sz w:val="19"/>
                <w:szCs w:val="19"/>
              </w:rPr>
              <w:t>ontrôlant la tension artérielle et</w:t>
            </w:r>
            <w:r w:rsidRPr="00934AF7">
              <w:rPr>
                <w:rFonts w:ascii="Arial" w:hAnsi="Arial" w:cs="Arial"/>
                <w:sz w:val="19"/>
                <w:szCs w:val="19"/>
              </w:rPr>
              <w:t xml:space="preserve"> la fréquence cardiaque du patient toutes les 30 minutes.</w:t>
            </w:r>
          </w:p>
          <w:p w14:paraId="01125E3D" w14:textId="77777777" w:rsidR="00A458CC" w:rsidRPr="00934AF7" w:rsidRDefault="00A458CC" w:rsidP="00573CF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jusqu’à 24h après celle-ci</w:t>
            </w:r>
            <w:r w:rsidR="00934AF7" w:rsidRPr="00934A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34AF7">
              <w:rPr>
                <w:rFonts w:ascii="Arial" w:hAnsi="Arial" w:cs="Arial"/>
                <w:sz w:val="19"/>
                <w:szCs w:val="19"/>
              </w:rPr>
              <w:t>et de contacter son médecin le cas échéant.</w:t>
            </w:r>
          </w:p>
          <w:p w14:paraId="01125E3E" w14:textId="77777777" w:rsidR="004B415C" w:rsidRPr="00934AF7" w:rsidRDefault="004B415C" w:rsidP="00573CF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t>Les patients développant des symptômes respiratoires</w:t>
            </w:r>
            <w:r w:rsidR="00CC466C" w:rsidRPr="00934AF7">
              <w:rPr>
                <w:rFonts w:ascii="Arial" w:hAnsi="Arial" w:cs="Arial"/>
                <w:b/>
                <w:sz w:val="19"/>
                <w:szCs w:val="19"/>
              </w:rPr>
              <w:t xml:space="preserve"> ou une hypotension</w:t>
            </w:r>
            <w:r w:rsidRPr="00934AF7">
              <w:rPr>
                <w:rFonts w:ascii="Arial" w:hAnsi="Arial" w:cs="Arial"/>
                <w:b/>
                <w:sz w:val="19"/>
                <w:szCs w:val="19"/>
              </w:rPr>
              <w:t xml:space="preserve"> doivent être surveillés durant min. 24h.</w:t>
            </w:r>
          </w:p>
        </w:tc>
      </w:tr>
      <w:tr w:rsidR="00A458CC" w:rsidRPr="00DE57B0" w14:paraId="01125E42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1125E40" w14:textId="77777777" w:rsidR="00A458CC" w:rsidRPr="00E13242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3242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01125E41" w14:textId="77777777" w:rsidR="00A458CC" w:rsidRPr="00E13242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13242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E13242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A458CC" w:rsidRPr="00DE57B0" w14:paraId="01125E45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125E43" w14:textId="77777777" w:rsidR="00A458CC" w:rsidRPr="00140F92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40F92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01125E44" w14:textId="77777777" w:rsidR="00A458CC" w:rsidRPr="00140F92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0F92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01125E46" w14:textId="77777777" w:rsidR="007677BA" w:rsidRPr="00DE57B0" w:rsidRDefault="00104DA8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4F57F4">
        <w:rPr>
          <w:rFonts w:ascii="Arial" w:hAnsi="Arial" w:cs="Arial"/>
          <w:noProof/>
          <w:sz w:val="20"/>
          <w:lang w:eastAsia="fr-CH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1125E5B" wp14:editId="01125E5C">
                <wp:simplePos x="0" y="0"/>
                <wp:positionH relativeFrom="column">
                  <wp:posOffset>-1208723</wp:posOffset>
                </wp:positionH>
                <wp:positionV relativeFrom="paragraph">
                  <wp:posOffset>-3409714</wp:posOffset>
                </wp:positionV>
                <wp:extent cx="1711325" cy="297180"/>
                <wp:effectExtent l="2223" t="0" r="24447" b="24448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1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5E6E" w14:textId="77777777" w:rsidR="004F57F4" w:rsidRDefault="004F57F4">
                            <w:r>
                              <w:t xml:space="preserve">Protocole Rituximab </w:t>
                            </w:r>
                            <w:r w:rsidRPr="00E92E44">
                              <w:rPr>
                                <w:b/>
                              </w:rPr>
                              <w:t>onco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5E5B" id="_x0000_s1029" type="#_x0000_t202" style="position:absolute;left:0;text-align:left;margin-left:-95.2pt;margin-top:-268.5pt;width:134.75pt;height:23.4pt;rotation:-90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">
                <v:textbox>
                  <w:txbxContent>
                    <w:p w14:paraId="01125E6E" w14:textId="77777777" w:rsidR="004F57F4" w:rsidRDefault="004F57F4">
                      <w:r>
                        <w:t xml:space="preserve">Protocole Rituximab </w:t>
                      </w:r>
                      <w:r w:rsidRPr="00E92E44">
                        <w:rPr>
                          <w:b/>
                        </w:rPr>
                        <w:t>onco</w:t>
                      </w:r>
                    </w:p>
                  </w:txbxContent>
                </v:textbox>
              </v:shape>
            </w:pict>
          </mc:Fallback>
        </mc:AlternateContent>
      </w:r>
    </w:p>
    <w:p w14:paraId="01125E47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01125E48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DE57B0">
        <w:rPr>
          <w:rFonts w:ascii="Arial" w:hAnsi="Arial" w:cs="Arial"/>
          <w:sz w:val="20"/>
          <w:szCs w:val="20"/>
          <w:highlight w:val="cyan"/>
        </w:rPr>
        <w:t xml:space="preserve">         </w:t>
      </w:r>
    </w:p>
    <w:p w14:paraId="01125E49" w14:textId="77777777"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01125E4A" w14:textId="77777777" w:rsidR="00BB4089" w:rsidRPr="004B415C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4B415C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4B415C">
        <w:rPr>
          <w:rFonts w:ascii="Arial" w:hAnsi="Arial" w:cs="Arial"/>
          <w:sz w:val="19"/>
          <w:szCs w:val="19"/>
          <w:u w:val="single"/>
        </w:rPr>
        <w:t>s</w:t>
      </w:r>
      <w:r w:rsidRPr="004B415C">
        <w:rPr>
          <w:rFonts w:ascii="Arial" w:hAnsi="Arial" w:cs="Arial"/>
          <w:sz w:val="19"/>
          <w:szCs w:val="19"/>
        </w:rPr>
        <w:t xml:space="preserve"> : </w:t>
      </w:r>
    </w:p>
    <w:p w14:paraId="01125E4B" w14:textId="77777777" w:rsidR="00322F91" w:rsidRPr="00EF5C09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F5C09">
        <w:rPr>
          <w:rFonts w:ascii="Arial" w:hAnsi="Arial" w:cs="Arial"/>
          <w:sz w:val="19"/>
          <w:szCs w:val="19"/>
        </w:rPr>
        <w:t xml:space="preserve">Swissmedicinfo.ch, </w:t>
      </w:r>
      <w:r w:rsidR="00EF5C09" w:rsidRPr="00EF5C09">
        <w:rPr>
          <w:rFonts w:ascii="Arial" w:hAnsi="Arial" w:cs="Arial"/>
          <w:sz w:val="19"/>
          <w:szCs w:val="19"/>
        </w:rPr>
        <w:t>MabThera</w:t>
      </w:r>
      <w:r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Pr="00EF5C09">
        <w:rPr>
          <w:rFonts w:ascii="Arial" w:hAnsi="Arial" w:cs="Arial"/>
          <w:sz w:val="19"/>
          <w:szCs w:val="19"/>
        </w:rPr>
        <w:t>,</w:t>
      </w:r>
      <w:r w:rsidR="00EF5C09">
        <w:rPr>
          <w:rFonts w:ascii="Arial" w:hAnsi="Arial" w:cs="Arial"/>
          <w:sz w:val="19"/>
          <w:szCs w:val="19"/>
        </w:rPr>
        <w:t>Rixathon</w:t>
      </w:r>
      <w:r w:rsidR="00EF5C09"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="00EF5C09">
        <w:rPr>
          <w:rFonts w:ascii="Arial" w:hAnsi="Arial" w:cs="Arial"/>
          <w:sz w:val="19"/>
          <w:szCs w:val="19"/>
        </w:rPr>
        <w:t>, Truxima</w:t>
      </w:r>
      <w:r w:rsidR="00EF5C09"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Pr="00EF5C09">
        <w:rPr>
          <w:rFonts w:ascii="Arial" w:hAnsi="Arial" w:cs="Arial"/>
          <w:sz w:val="19"/>
          <w:szCs w:val="19"/>
        </w:rPr>
        <w:t xml:space="preserve"> </w:t>
      </w:r>
      <w:r w:rsidR="009F5653">
        <w:rPr>
          <w:rFonts w:ascii="Arial" w:hAnsi="Arial" w:cs="Arial"/>
          <w:sz w:val="19"/>
          <w:szCs w:val="19"/>
        </w:rPr>
        <w:t>09</w:t>
      </w:r>
      <w:r w:rsidR="00EF5C09" w:rsidRPr="00EF5C09">
        <w:rPr>
          <w:rFonts w:ascii="Arial" w:hAnsi="Arial" w:cs="Arial"/>
          <w:sz w:val="19"/>
          <w:szCs w:val="19"/>
        </w:rPr>
        <w:t>.2021</w:t>
      </w:r>
    </w:p>
    <w:p w14:paraId="01125E4C" w14:textId="77777777" w:rsidR="00B02527" w:rsidRPr="0019622E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33ED6">
        <w:rPr>
          <w:rFonts w:ascii="Arial" w:hAnsi="Arial" w:cs="Arial"/>
          <w:sz w:val="19"/>
          <w:szCs w:val="19"/>
        </w:rPr>
        <w:t xml:space="preserve">Listedesspecialites.ch, </w:t>
      </w:r>
      <w:r w:rsidR="009F5653">
        <w:rPr>
          <w:rFonts w:ascii="Arial" w:hAnsi="Arial" w:cs="Arial"/>
          <w:sz w:val="19"/>
          <w:szCs w:val="19"/>
        </w:rPr>
        <w:t>09</w:t>
      </w:r>
      <w:r w:rsidR="00833ED6" w:rsidRPr="00833ED6">
        <w:rPr>
          <w:rFonts w:ascii="Arial" w:hAnsi="Arial" w:cs="Arial"/>
          <w:sz w:val="19"/>
          <w:szCs w:val="19"/>
        </w:rPr>
        <w:t>.2021</w:t>
      </w:r>
    </w:p>
    <w:p w14:paraId="01125E4D" w14:textId="77777777" w:rsidR="0019622E" w:rsidRPr="00094F07" w:rsidRDefault="0019622E" w:rsidP="00094F07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Brochure Roche « Mabthera</w:t>
      </w:r>
      <w:r w:rsidRPr="0019622E">
        <w:rPr>
          <w:rFonts w:ascii="Arial" w:hAnsi="Arial" w:cs="Arial"/>
          <w:sz w:val="19"/>
          <w:szCs w:val="19"/>
          <w:vertAlign w:val="superscript"/>
        </w:rPr>
        <w:t>®</w:t>
      </w:r>
      <w:r>
        <w:rPr>
          <w:rFonts w:ascii="Arial" w:hAnsi="Arial" w:cs="Arial"/>
          <w:sz w:val="19"/>
          <w:szCs w:val="19"/>
        </w:rPr>
        <w:t xml:space="preserve"> - </w:t>
      </w:r>
      <w:r w:rsidRPr="0019622E">
        <w:rPr>
          <w:rFonts w:ascii="Arial" w:hAnsi="Arial" w:cs="Arial"/>
          <w:sz w:val="19"/>
          <w:szCs w:val="19"/>
        </w:rPr>
        <w:t>Information de base sur le traitement des</w:t>
      </w:r>
      <w:r w:rsidR="00094F07">
        <w:rPr>
          <w:rFonts w:ascii="Arial" w:hAnsi="Arial" w:cs="Arial"/>
          <w:sz w:val="19"/>
          <w:szCs w:val="19"/>
        </w:rPr>
        <w:t xml:space="preserve"> </w:t>
      </w:r>
      <w:r w:rsidRPr="00094F07">
        <w:rPr>
          <w:rFonts w:ascii="Arial" w:hAnsi="Arial" w:cs="Arial"/>
          <w:sz w:val="19"/>
          <w:szCs w:val="19"/>
        </w:rPr>
        <w:t>patients atteints de LLC, de LF ou de DLBCL</w:t>
      </w:r>
      <w:r w:rsidR="004F57F4">
        <w:rPr>
          <w:rFonts w:ascii="Arial" w:hAnsi="Arial" w:cs="Arial"/>
          <w:sz w:val="19"/>
          <w:szCs w:val="19"/>
        </w:rPr>
        <w:t> »</w:t>
      </w:r>
      <w:r w:rsidRPr="00094F07">
        <w:rPr>
          <w:rFonts w:ascii="Arial" w:hAnsi="Arial" w:cs="Arial"/>
          <w:sz w:val="19"/>
          <w:szCs w:val="19"/>
        </w:rPr>
        <w:t>, version 06.2018</w:t>
      </w:r>
    </w:p>
    <w:p w14:paraId="01125E4E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25E5F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01125E60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MPJ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CC0E" w14:textId="77777777" w:rsidR="008B3C1D" w:rsidRDefault="008B3C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125E62" w14:textId="77777777"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9F5653">
          <w:rPr>
            <w:rFonts w:ascii="Arial" w:hAnsi="Arial" w:cs="Arial"/>
            <w:sz w:val="16"/>
            <w:szCs w:val="16"/>
          </w:rPr>
          <w:t>09</w:t>
        </w:r>
        <w:r w:rsidR="00DE57B0">
          <w:rPr>
            <w:rFonts w:ascii="Arial" w:hAnsi="Arial" w:cs="Arial"/>
            <w:sz w:val="16"/>
            <w:szCs w:val="16"/>
          </w:rPr>
          <w:t>.2021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01125E63" w14:textId="03159570"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8B3C1D" w:rsidRPr="008B3C1D">
          <w:rPr>
            <w:rFonts w:ascii="Arial" w:hAnsi="Arial" w:cs="Arial"/>
            <w:sz w:val="16"/>
            <w:szCs w:val="16"/>
          </w:rPr>
          <w:t>GED.PRC.206</w:t>
        </w:r>
        <w:r w:rsidR="008B3C1D">
          <w:rPr>
            <w:rFonts w:ascii="Arial" w:hAnsi="Arial" w:cs="Arial"/>
            <w:sz w:val="16"/>
            <w:szCs w:val="16"/>
          </w:rPr>
          <w:t xml:space="preserve"> – Révision 01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</w:t>
        </w:r>
        <w:r w:rsidR="008B3C1D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01125E64" w14:textId="77777777"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</w:t>
        </w:r>
        <w:bookmarkStart w:id="0" w:name="_GoBack"/>
        <w:bookmarkEnd w:id="0"/>
        <w:r>
          <w:rPr>
            <w:rFonts w:ascii="Arial" w:hAnsi="Arial" w:cs="Arial"/>
            <w:sz w:val="16"/>
            <w:szCs w:val="16"/>
          </w:rPr>
          <w:t xml:space="preserve">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8B3C1D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24195" w14:textId="77777777" w:rsidR="008B3C1D" w:rsidRDefault="008B3C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5E5D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01125E5E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0ABF" w14:textId="77777777" w:rsidR="008B3C1D" w:rsidRDefault="008B3C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5E61" w14:textId="77777777" w:rsidR="00BC69B8" w:rsidRDefault="009F5653">
    <w:pPr>
      <w:pStyle w:val="En-tte"/>
    </w:pPr>
    <w:r w:rsidRPr="009F5653">
      <w:rPr>
        <w:noProof/>
        <w:lang w:eastAsia="fr-CH"/>
      </w:rPr>
      <w:drawing>
        <wp:anchor distT="0" distB="0" distL="114300" distR="114300" simplePos="0" relativeHeight="251738112" behindDoc="0" locked="0" layoutInCell="1" allowOverlap="1" wp14:anchorId="01125E65" wp14:editId="01125E66">
          <wp:simplePos x="0" y="0"/>
          <wp:positionH relativeFrom="column">
            <wp:posOffset>982980</wp:posOffset>
          </wp:positionH>
          <wp:positionV relativeFrom="paragraph">
            <wp:posOffset>-328930</wp:posOffset>
          </wp:positionV>
          <wp:extent cx="1562735" cy="66611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653">
      <w:rPr>
        <w:noProof/>
        <w:lang w:eastAsia="fr-CH"/>
      </w:rPr>
      <w:drawing>
        <wp:anchor distT="0" distB="0" distL="114300" distR="114300" simplePos="0" relativeHeight="251686912" behindDoc="0" locked="0" layoutInCell="1" allowOverlap="1" wp14:anchorId="01125E67" wp14:editId="01125E68">
          <wp:simplePos x="0" y="0"/>
          <wp:positionH relativeFrom="column">
            <wp:posOffset>2768600</wp:posOffset>
          </wp:positionH>
          <wp:positionV relativeFrom="paragraph">
            <wp:posOffset>-307340</wp:posOffset>
          </wp:positionV>
          <wp:extent cx="2334895" cy="542925"/>
          <wp:effectExtent l="0" t="0" r="825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33489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653">
      <w:rPr>
        <w:noProof/>
        <w:lang w:eastAsia="fr-CH"/>
      </w:rPr>
      <w:drawing>
        <wp:anchor distT="0" distB="0" distL="114300" distR="114300" simplePos="0" relativeHeight="251626496" behindDoc="0" locked="0" layoutInCell="1" allowOverlap="1" wp14:anchorId="01125E69" wp14:editId="01125E6A">
          <wp:simplePos x="0" y="0"/>
          <wp:positionH relativeFrom="column">
            <wp:posOffset>-723427</wp:posOffset>
          </wp:positionH>
          <wp:positionV relativeFrom="paragraph">
            <wp:posOffset>-309245</wp:posOffset>
          </wp:positionV>
          <wp:extent cx="1457325" cy="619125"/>
          <wp:effectExtent l="0" t="0" r="9525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DCA8" w14:textId="77777777" w:rsidR="008B3C1D" w:rsidRDefault="008B3C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5BBC99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F73"/>
    <w:multiLevelType w:val="hybridMultilevel"/>
    <w:tmpl w:val="F438A6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i/uHHcFY/emS8/7CLEMuLR1seCEi8rVzO9xby1EBp/YzJQrf4GnPn6FFz48qerYwilGXd4AuGFCi6RjHCNTrmA==" w:salt="FT7HFJfZTrlJNhvHNtu00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2FE2"/>
    <w:rsid w:val="000039FD"/>
    <w:rsid w:val="00006BBF"/>
    <w:rsid w:val="000128C9"/>
    <w:rsid w:val="00013319"/>
    <w:rsid w:val="00017674"/>
    <w:rsid w:val="000211EB"/>
    <w:rsid w:val="000256E8"/>
    <w:rsid w:val="000322B2"/>
    <w:rsid w:val="00040C23"/>
    <w:rsid w:val="00041DFE"/>
    <w:rsid w:val="00046B3B"/>
    <w:rsid w:val="00051599"/>
    <w:rsid w:val="00066300"/>
    <w:rsid w:val="00066BDC"/>
    <w:rsid w:val="00066D2D"/>
    <w:rsid w:val="00087226"/>
    <w:rsid w:val="000911F8"/>
    <w:rsid w:val="00092C5B"/>
    <w:rsid w:val="00094F07"/>
    <w:rsid w:val="00096705"/>
    <w:rsid w:val="000A2CE4"/>
    <w:rsid w:val="000B6D93"/>
    <w:rsid w:val="000B7C9A"/>
    <w:rsid w:val="000C6DD5"/>
    <w:rsid w:val="000D039B"/>
    <w:rsid w:val="000D06D9"/>
    <w:rsid w:val="000D5E3B"/>
    <w:rsid w:val="000E4AAA"/>
    <w:rsid w:val="000F0FED"/>
    <w:rsid w:val="000F3A7B"/>
    <w:rsid w:val="00104DA8"/>
    <w:rsid w:val="0011423F"/>
    <w:rsid w:val="001157D9"/>
    <w:rsid w:val="00127E88"/>
    <w:rsid w:val="00140F92"/>
    <w:rsid w:val="0014443D"/>
    <w:rsid w:val="0015778B"/>
    <w:rsid w:val="00175F0A"/>
    <w:rsid w:val="00182928"/>
    <w:rsid w:val="00187CB2"/>
    <w:rsid w:val="001915A1"/>
    <w:rsid w:val="0019622E"/>
    <w:rsid w:val="001A5577"/>
    <w:rsid w:val="001A5A95"/>
    <w:rsid w:val="001C1076"/>
    <w:rsid w:val="001C1F67"/>
    <w:rsid w:val="001C2231"/>
    <w:rsid w:val="001C76E4"/>
    <w:rsid w:val="001D1413"/>
    <w:rsid w:val="001D2AF8"/>
    <w:rsid w:val="001D4386"/>
    <w:rsid w:val="001E49E7"/>
    <w:rsid w:val="001F54F2"/>
    <w:rsid w:val="002022BD"/>
    <w:rsid w:val="002039B1"/>
    <w:rsid w:val="00210014"/>
    <w:rsid w:val="00217F89"/>
    <w:rsid w:val="0022325B"/>
    <w:rsid w:val="00225CB9"/>
    <w:rsid w:val="00231E1F"/>
    <w:rsid w:val="002468F7"/>
    <w:rsid w:val="00246BD4"/>
    <w:rsid w:val="00247356"/>
    <w:rsid w:val="002539B8"/>
    <w:rsid w:val="00260952"/>
    <w:rsid w:val="0027574D"/>
    <w:rsid w:val="00284B43"/>
    <w:rsid w:val="002859C0"/>
    <w:rsid w:val="002878DD"/>
    <w:rsid w:val="002A5F76"/>
    <w:rsid w:val="002B22CB"/>
    <w:rsid w:val="002B568A"/>
    <w:rsid w:val="002C46F9"/>
    <w:rsid w:val="002D2690"/>
    <w:rsid w:val="002D42ED"/>
    <w:rsid w:val="002D734F"/>
    <w:rsid w:val="002E04DA"/>
    <w:rsid w:val="002E0D22"/>
    <w:rsid w:val="002F1148"/>
    <w:rsid w:val="002F3308"/>
    <w:rsid w:val="0030495A"/>
    <w:rsid w:val="00304C94"/>
    <w:rsid w:val="0030712A"/>
    <w:rsid w:val="00311CC6"/>
    <w:rsid w:val="00312761"/>
    <w:rsid w:val="00321442"/>
    <w:rsid w:val="0032174A"/>
    <w:rsid w:val="00322F91"/>
    <w:rsid w:val="00327277"/>
    <w:rsid w:val="00332CE4"/>
    <w:rsid w:val="00332DC1"/>
    <w:rsid w:val="003343B0"/>
    <w:rsid w:val="00335926"/>
    <w:rsid w:val="003516E8"/>
    <w:rsid w:val="0035545E"/>
    <w:rsid w:val="00355691"/>
    <w:rsid w:val="0036261A"/>
    <w:rsid w:val="00362FD3"/>
    <w:rsid w:val="003658AD"/>
    <w:rsid w:val="00365E3F"/>
    <w:rsid w:val="00367E71"/>
    <w:rsid w:val="00370144"/>
    <w:rsid w:val="00376161"/>
    <w:rsid w:val="00386A57"/>
    <w:rsid w:val="00387906"/>
    <w:rsid w:val="003A3640"/>
    <w:rsid w:val="003A7817"/>
    <w:rsid w:val="003B0A78"/>
    <w:rsid w:val="003C284F"/>
    <w:rsid w:val="003D03B9"/>
    <w:rsid w:val="003D1C55"/>
    <w:rsid w:val="003D7DB7"/>
    <w:rsid w:val="003E31EE"/>
    <w:rsid w:val="003E344A"/>
    <w:rsid w:val="003E372B"/>
    <w:rsid w:val="003E5BAD"/>
    <w:rsid w:val="003E6EEB"/>
    <w:rsid w:val="003E7489"/>
    <w:rsid w:val="003E7D56"/>
    <w:rsid w:val="004013D9"/>
    <w:rsid w:val="00406497"/>
    <w:rsid w:val="00410ED6"/>
    <w:rsid w:val="00425A18"/>
    <w:rsid w:val="004317C4"/>
    <w:rsid w:val="00441462"/>
    <w:rsid w:val="00443DA1"/>
    <w:rsid w:val="00444CC7"/>
    <w:rsid w:val="00446490"/>
    <w:rsid w:val="004470A4"/>
    <w:rsid w:val="00457A67"/>
    <w:rsid w:val="00461D77"/>
    <w:rsid w:val="00462183"/>
    <w:rsid w:val="0046287B"/>
    <w:rsid w:val="00471FC0"/>
    <w:rsid w:val="00475CCA"/>
    <w:rsid w:val="00486462"/>
    <w:rsid w:val="004B415C"/>
    <w:rsid w:val="004B611E"/>
    <w:rsid w:val="004C2131"/>
    <w:rsid w:val="004C2460"/>
    <w:rsid w:val="004C3349"/>
    <w:rsid w:val="004C5B38"/>
    <w:rsid w:val="004D1EBC"/>
    <w:rsid w:val="004D2E87"/>
    <w:rsid w:val="004E1A7B"/>
    <w:rsid w:val="004E70C3"/>
    <w:rsid w:val="004F16E5"/>
    <w:rsid w:val="004F57F4"/>
    <w:rsid w:val="00512C94"/>
    <w:rsid w:val="00513568"/>
    <w:rsid w:val="005216F7"/>
    <w:rsid w:val="005249BC"/>
    <w:rsid w:val="0054557F"/>
    <w:rsid w:val="00550B04"/>
    <w:rsid w:val="005517DA"/>
    <w:rsid w:val="00554037"/>
    <w:rsid w:val="00561E6C"/>
    <w:rsid w:val="00562529"/>
    <w:rsid w:val="00566DA8"/>
    <w:rsid w:val="00573CF2"/>
    <w:rsid w:val="0057564D"/>
    <w:rsid w:val="005857E8"/>
    <w:rsid w:val="005859FF"/>
    <w:rsid w:val="005874BE"/>
    <w:rsid w:val="00593B9E"/>
    <w:rsid w:val="005B1EB8"/>
    <w:rsid w:val="005B388C"/>
    <w:rsid w:val="005C10BD"/>
    <w:rsid w:val="005C66A0"/>
    <w:rsid w:val="005D142A"/>
    <w:rsid w:val="005D341F"/>
    <w:rsid w:val="005D758D"/>
    <w:rsid w:val="005E33C3"/>
    <w:rsid w:val="005E3B64"/>
    <w:rsid w:val="005E5DC8"/>
    <w:rsid w:val="005F1849"/>
    <w:rsid w:val="005F23BB"/>
    <w:rsid w:val="005F28A8"/>
    <w:rsid w:val="005F3F68"/>
    <w:rsid w:val="005F5A72"/>
    <w:rsid w:val="00602755"/>
    <w:rsid w:val="006066A7"/>
    <w:rsid w:val="00620AEC"/>
    <w:rsid w:val="00622B97"/>
    <w:rsid w:val="00632FC5"/>
    <w:rsid w:val="00655028"/>
    <w:rsid w:val="00670FE5"/>
    <w:rsid w:val="00686642"/>
    <w:rsid w:val="00687169"/>
    <w:rsid w:val="006871FA"/>
    <w:rsid w:val="006923C7"/>
    <w:rsid w:val="006A4C61"/>
    <w:rsid w:val="006A7F42"/>
    <w:rsid w:val="006B1B28"/>
    <w:rsid w:val="006B3E70"/>
    <w:rsid w:val="006B51C9"/>
    <w:rsid w:val="006B5A58"/>
    <w:rsid w:val="006B7456"/>
    <w:rsid w:val="006C15D8"/>
    <w:rsid w:val="006C1E47"/>
    <w:rsid w:val="006C2282"/>
    <w:rsid w:val="006C550D"/>
    <w:rsid w:val="006D0716"/>
    <w:rsid w:val="006D1152"/>
    <w:rsid w:val="006D2197"/>
    <w:rsid w:val="006E01F9"/>
    <w:rsid w:val="006E09E3"/>
    <w:rsid w:val="006E2718"/>
    <w:rsid w:val="006E6DE3"/>
    <w:rsid w:val="007043B9"/>
    <w:rsid w:val="00713CBD"/>
    <w:rsid w:val="00715E8E"/>
    <w:rsid w:val="007170E5"/>
    <w:rsid w:val="0072249B"/>
    <w:rsid w:val="00722CA4"/>
    <w:rsid w:val="00726EE9"/>
    <w:rsid w:val="00727ACB"/>
    <w:rsid w:val="00731777"/>
    <w:rsid w:val="00733650"/>
    <w:rsid w:val="00742650"/>
    <w:rsid w:val="0074285D"/>
    <w:rsid w:val="00747475"/>
    <w:rsid w:val="00753DEC"/>
    <w:rsid w:val="00756FC1"/>
    <w:rsid w:val="00760EFD"/>
    <w:rsid w:val="00763F74"/>
    <w:rsid w:val="00766818"/>
    <w:rsid w:val="007677BA"/>
    <w:rsid w:val="007809ED"/>
    <w:rsid w:val="00797CEF"/>
    <w:rsid w:val="007A3835"/>
    <w:rsid w:val="007B31B0"/>
    <w:rsid w:val="007B4C96"/>
    <w:rsid w:val="007C43FD"/>
    <w:rsid w:val="007C7A6E"/>
    <w:rsid w:val="007E00FD"/>
    <w:rsid w:val="007E0DEE"/>
    <w:rsid w:val="007E488B"/>
    <w:rsid w:val="007E6D4C"/>
    <w:rsid w:val="007F6E25"/>
    <w:rsid w:val="00805FDB"/>
    <w:rsid w:val="00806C5E"/>
    <w:rsid w:val="00807599"/>
    <w:rsid w:val="008139E9"/>
    <w:rsid w:val="00822245"/>
    <w:rsid w:val="008224AE"/>
    <w:rsid w:val="00826121"/>
    <w:rsid w:val="008302A5"/>
    <w:rsid w:val="0083136D"/>
    <w:rsid w:val="00832C2C"/>
    <w:rsid w:val="00833066"/>
    <w:rsid w:val="00833ED6"/>
    <w:rsid w:val="008415CD"/>
    <w:rsid w:val="008438C8"/>
    <w:rsid w:val="00844E76"/>
    <w:rsid w:val="008604C0"/>
    <w:rsid w:val="0086369B"/>
    <w:rsid w:val="00872D8E"/>
    <w:rsid w:val="00874D80"/>
    <w:rsid w:val="008752EB"/>
    <w:rsid w:val="008832E8"/>
    <w:rsid w:val="00887BC5"/>
    <w:rsid w:val="00893B73"/>
    <w:rsid w:val="008A1268"/>
    <w:rsid w:val="008B21DF"/>
    <w:rsid w:val="008B3C1D"/>
    <w:rsid w:val="008B608C"/>
    <w:rsid w:val="008C23E2"/>
    <w:rsid w:val="008D1BE7"/>
    <w:rsid w:val="008D347A"/>
    <w:rsid w:val="008D44CD"/>
    <w:rsid w:val="008E5716"/>
    <w:rsid w:val="008E6A94"/>
    <w:rsid w:val="008F1CE6"/>
    <w:rsid w:val="008F2547"/>
    <w:rsid w:val="008F6092"/>
    <w:rsid w:val="008F692B"/>
    <w:rsid w:val="0091171D"/>
    <w:rsid w:val="00912343"/>
    <w:rsid w:val="00923601"/>
    <w:rsid w:val="00925F11"/>
    <w:rsid w:val="009318E3"/>
    <w:rsid w:val="00934510"/>
    <w:rsid w:val="00934AF7"/>
    <w:rsid w:val="00935729"/>
    <w:rsid w:val="00940494"/>
    <w:rsid w:val="0094202B"/>
    <w:rsid w:val="00947563"/>
    <w:rsid w:val="0095091A"/>
    <w:rsid w:val="00966F06"/>
    <w:rsid w:val="009706F8"/>
    <w:rsid w:val="009861A7"/>
    <w:rsid w:val="009A360A"/>
    <w:rsid w:val="009A43F1"/>
    <w:rsid w:val="009A779D"/>
    <w:rsid w:val="009B1F09"/>
    <w:rsid w:val="009D61E1"/>
    <w:rsid w:val="009E3BE0"/>
    <w:rsid w:val="009E7A82"/>
    <w:rsid w:val="009F5086"/>
    <w:rsid w:val="009F5653"/>
    <w:rsid w:val="00A007DE"/>
    <w:rsid w:val="00A27E4A"/>
    <w:rsid w:val="00A42577"/>
    <w:rsid w:val="00A458CC"/>
    <w:rsid w:val="00A57420"/>
    <w:rsid w:val="00A63618"/>
    <w:rsid w:val="00A667AC"/>
    <w:rsid w:val="00A66D48"/>
    <w:rsid w:val="00A67604"/>
    <w:rsid w:val="00A7468D"/>
    <w:rsid w:val="00A7751B"/>
    <w:rsid w:val="00A844B0"/>
    <w:rsid w:val="00A84521"/>
    <w:rsid w:val="00A8662D"/>
    <w:rsid w:val="00A90428"/>
    <w:rsid w:val="00A9167C"/>
    <w:rsid w:val="00A9489C"/>
    <w:rsid w:val="00A95625"/>
    <w:rsid w:val="00AA075F"/>
    <w:rsid w:val="00AA20AE"/>
    <w:rsid w:val="00AA25D1"/>
    <w:rsid w:val="00AA648A"/>
    <w:rsid w:val="00AB051A"/>
    <w:rsid w:val="00AB37B0"/>
    <w:rsid w:val="00AC00A2"/>
    <w:rsid w:val="00AC0C5A"/>
    <w:rsid w:val="00AC4890"/>
    <w:rsid w:val="00AC5991"/>
    <w:rsid w:val="00AD1E09"/>
    <w:rsid w:val="00AE031A"/>
    <w:rsid w:val="00AF112E"/>
    <w:rsid w:val="00AF4BFD"/>
    <w:rsid w:val="00AF744B"/>
    <w:rsid w:val="00B02527"/>
    <w:rsid w:val="00B0613B"/>
    <w:rsid w:val="00B104F2"/>
    <w:rsid w:val="00B154A5"/>
    <w:rsid w:val="00B16C9C"/>
    <w:rsid w:val="00B17323"/>
    <w:rsid w:val="00B21930"/>
    <w:rsid w:val="00B2386D"/>
    <w:rsid w:val="00B41AB8"/>
    <w:rsid w:val="00B428C0"/>
    <w:rsid w:val="00B52929"/>
    <w:rsid w:val="00B52F3B"/>
    <w:rsid w:val="00B62608"/>
    <w:rsid w:val="00B63309"/>
    <w:rsid w:val="00B748EA"/>
    <w:rsid w:val="00B8246D"/>
    <w:rsid w:val="00B8687A"/>
    <w:rsid w:val="00B86F60"/>
    <w:rsid w:val="00B96D60"/>
    <w:rsid w:val="00BA10A6"/>
    <w:rsid w:val="00BA197B"/>
    <w:rsid w:val="00BB4089"/>
    <w:rsid w:val="00BC69B8"/>
    <w:rsid w:val="00BC7355"/>
    <w:rsid w:val="00BD1B54"/>
    <w:rsid w:val="00BD45B9"/>
    <w:rsid w:val="00BF6597"/>
    <w:rsid w:val="00C010E7"/>
    <w:rsid w:val="00C02106"/>
    <w:rsid w:val="00C11804"/>
    <w:rsid w:val="00C37590"/>
    <w:rsid w:val="00C41C89"/>
    <w:rsid w:val="00C42A74"/>
    <w:rsid w:val="00C4369E"/>
    <w:rsid w:val="00C44808"/>
    <w:rsid w:val="00C46E03"/>
    <w:rsid w:val="00C50B0A"/>
    <w:rsid w:val="00C54BBC"/>
    <w:rsid w:val="00C6635B"/>
    <w:rsid w:val="00C72424"/>
    <w:rsid w:val="00C76013"/>
    <w:rsid w:val="00C76EAF"/>
    <w:rsid w:val="00C850D3"/>
    <w:rsid w:val="00C908AE"/>
    <w:rsid w:val="00C90F67"/>
    <w:rsid w:val="00C95370"/>
    <w:rsid w:val="00CA00D6"/>
    <w:rsid w:val="00CA256D"/>
    <w:rsid w:val="00CB0645"/>
    <w:rsid w:val="00CB291E"/>
    <w:rsid w:val="00CC1186"/>
    <w:rsid w:val="00CC466C"/>
    <w:rsid w:val="00CD0829"/>
    <w:rsid w:val="00CD0C63"/>
    <w:rsid w:val="00CF518F"/>
    <w:rsid w:val="00D052A0"/>
    <w:rsid w:val="00D11E07"/>
    <w:rsid w:val="00D13FD9"/>
    <w:rsid w:val="00D161E3"/>
    <w:rsid w:val="00D16F62"/>
    <w:rsid w:val="00D1753F"/>
    <w:rsid w:val="00D179D3"/>
    <w:rsid w:val="00D2332F"/>
    <w:rsid w:val="00D33EC4"/>
    <w:rsid w:val="00D45534"/>
    <w:rsid w:val="00D51AC3"/>
    <w:rsid w:val="00D52081"/>
    <w:rsid w:val="00D64B7E"/>
    <w:rsid w:val="00D64F56"/>
    <w:rsid w:val="00D67A30"/>
    <w:rsid w:val="00D81387"/>
    <w:rsid w:val="00DA54E8"/>
    <w:rsid w:val="00DA6596"/>
    <w:rsid w:val="00DB022A"/>
    <w:rsid w:val="00DB6E36"/>
    <w:rsid w:val="00DC1695"/>
    <w:rsid w:val="00DC685D"/>
    <w:rsid w:val="00DD1468"/>
    <w:rsid w:val="00DD3FD9"/>
    <w:rsid w:val="00DE15E3"/>
    <w:rsid w:val="00DE57B0"/>
    <w:rsid w:val="00DE699D"/>
    <w:rsid w:val="00DF0EB4"/>
    <w:rsid w:val="00DF57E3"/>
    <w:rsid w:val="00DF78AD"/>
    <w:rsid w:val="00E13242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2430"/>
    <w:rsid w:val="00E55FF9"/>
    <w:rsid w:val="00E64AEE"/>
    <w:rsid w:val="00E81C42"/>
    <w:rsid w:val="00E83492"/>
    <w:rsid w:val="00E928EB"/>
    <w:rsid w:val="00E92E44"/>
    <w:rsid w:val="00E97A85"/>
    <w:rsid w:val="00EA34C9"/>
    <w:rsid w:val="00EA4BC8"/>
    <w:rsid w:val="00EA4CCF"/>
    <w:rsid w:val="00EB3C41"/>
    <w:rsid w:val="00EB4D34"/>
    <w:rsid w:val="00EB5AF5"/>
    <w:rsid w:val="00EC09B2"/>
    <w:rsid w:val="00EC3B93"/>
    <w:rsid w:val="00EC560D"/>
    <w:rsid w:val="00EC5B79"/>
    <w:rsid w:val="00EC7746"/>
    <w:rsid w:val="00ED1F1F"/>
    <w:rsid w:val="00EE1453"/>
    <w:rsid w:val="00EE33CE"/>
    <w:rsid w:val="00EE6A77"/>
    <w:rsid w:val="00EF5C09"/>
    <w:rsid w:val="00EF65E1"/>
    <w:rsid w:val="00EF7959"/>
    <w:rsid w:val="00F03576"/>
    <w:rsid w:val="00F21EE1"/>
    <w:rsid w:val="00F3793E"/>
    <w:rsid w:val="00F45A9A"/>
    <w:rsid w:val="00F45F95"/>
    <w:rsid w:val="00F51AAC"/>
    <w:rsid w:val="00F73A69"/>
    <w:rsid w:val="00F80440"/>
    <w:rsid w:val="00F817AB"/>
    <w:rsid w:val="00F827AB"/>
    <w:rsid w:val="00F91879"/>
    <w:rsid w:val="00F96403"/>
    <w:rsid w:val="00F97F89"/>
    <w:rsid w:val="00FA2C18"/>
    <w:rsid w:val="00FA670B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1125D9E"/>
  <w15:docId w15:val="{643BD6EE-61CA-4E85-AB34-DEF4233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1915A1"/>
    <w:pPr>
      <w:spacing w:line="171" w:lineRule="atLeast"/>
    </w:pPr>
    <w:rPr>
      <w:rFonts w:ascii="GNMPJ U+ DIN" w:hAnsi="GNMPJ U+ DIN" w:cstheme="minorBidi"/>
      <w:color w:val="auto"/>
    </w:rPr>
  </w:style>
  <w:style w:type="character" w:customStyle="1" w:styleId="s9">
    <w:name w:val="s9"/>
    <w:basedOn w:val="Policepardfaut"/>
    <w:rsid w:val="001915A1"/>
  </w:style>
  <w:style w:type="paragraph" w:customStyle="1" w:styleId="s8">
    <w:name w:val="s8"/>
    <w:basedOn w:val="Normal"/>
    <w:rsid w:val="001915A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ol-xs-41">
    <w:name w:val="col-xs-41"/>
    <w:basedOn w:val="Policepardfaut"/>
    <w:rsid w:val="008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9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C3BC-6AC4-44E8-9E6D-DEA9290D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708509E4.dotm</Template>
  <TotalTime>558</TotalTime>
  <Pages>3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michelod</dc:creator>
  <cp:lastModifiedBy>Michel Odile</cp:lastModifiedBy>
  <cp:revision>82</cp:revision>
  <cp:lastPrinted>2018-11-16T07:37:00Z</cp:lastPrinted>
  <dcterms:created xsi:type="dcterms:W3CDTF">2021-01-26T13:10:00Z</dcterms:created>
  <dcterms:modified xsi:type="dcterms:W3CDTF">2021-09-09T08:35:00Z</dcterms:modified>
</cp:coreProperties>
</file>